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F0B2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C11EC8D">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6ACD243">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10E9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095F3EC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5F70885">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92A60E0">
        <w:tc>
          <w:tcPr>
            <w:tcW w:w="6407" w:type="dxa"/>
          </w:tcPr>
          <w:p w14:paraId="77920DDA">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9D354CE">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B693E1A">
      <w:pPr>
        <w:pStyle w:val="198"/>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F80280F">
      <w:pPr>
        <w:pStyle w:val="199"/>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28DC5A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3E386D5">
      <w:pPr>
        <w:pStyle w:val="53"/>
        <w:framePr w:w="9639" w:h="6976" w:hRule="exact" w:hSpace="0" w:vSpace="0" w:wrap="around" w:hAnchor="page" w:y="6408"/>
        <w:jc w:val="center"/>
        <w:rPr>
          <w:rFonts w:ascii="黑体" w:hAnsi="黑体" w:eastAsia="黑体"/>
          <w:b w:val="0"/>
          <w:bCs w:val="0"/>
          <w:w w:val="100"/>
        </w:rPr>
      </w:pPr>
    </w:p>
    <w:p w14:paraId="60880442">
      <w:pPr>
        <w:pStyle w:val="200"/>
        <w:framePr w:h="6974" w:hRule="exact" w:wrap="around" w:x="1419" w:anchorLock="1"/>
        <w:ind w:left="2080" w:hanging="2080" w:hangingChars="400"/>
        <w:jc w:val="both"/>
      </w:pPr>
      <w:r>
        <w:rPr>
          <w:rFonts w:hint="eastAsia"/>
        </w:rPr>
        <w:t>皮肤试验用结核分枝杆菌</w:t>
      </w:r>
      <w:r>
        <w:rPr>
          <w:rFonts w:hint="eastAsia"/>
          <w:lang w:val="en-US" w:eastAsia="zh-CN"/>
        </w:rPr>
        <w:t>重组蛋白</w:t>
      </w:r>
      <w:r>
        <w:rPr>
          <w:rFonts w:hint="eastAsia"/>
        </w:rPr>
        <w:t>在结核感染检测中的应用技术规范</w:t>
      </w:r>
    </w:p>
    <w:p w14:paraId="5D1831F7">
      <w:pPr>
        <w:framePr w:w="9639" w:h="6974" w:hRule="exact" w:wrap="around" w:vAnchor="page" w:hAnchor="page" w:x="1419" w:y="6408" w:anchorLock="1"/>
        <w:ind w:left="-1418"/>
      </w:pPr>
    </w:p>
    <w:p w14:paraId="0441B058">
      <w:pPr>
        <w:pStyle w:val="128"/>
        <w:framePr w:w="9639" w:h="6974" w:hRule="exact" w:wrap="around" w:vAnchor="page" w:hAnchor="page" w:x="1419" w:y="6408" w:anchorLock="1"/>
        <w:textAlignment w:val="bottom"/>
        <w:rPr>
          <w:rFonts w:eastAsia="黑体"/>
          <w:szCs w:val="28"/>
        </w:rPr>
      </w:pPr>
      <w:r>
        <w:rPr>
          <w:rFonts w:eastAsia="黑体"/>
          <w:szCs w:val="28"/>
        </w:rPr>
        <w:t>Application specification</w:t>
      </w:r>
      <w:r>
        <w:rPr>
          <w:rFonts w:hint="eastAsia" w:eastAsia="黑体"/>
          <w:szCs w:val="28"/>
        </w:rPr>
        <w:t>s</w:t>
      </w:r>
      <w:r>
        <w:rPr>
          <w:rFonts w:eastAsia="黑体"/>
          <w:szCs w:val="28"/>
        </w:rPr>
        <w:t xml:space="preserve"> of </w:t>
      </w:r>
      <w:r>
        <w:rPr>
          <w:rFonts w:eastAsia="黑体"/>
          <w:i/>
          <w:iCs/>
          <w:szCs w:val="28"/>
        </w:rPr>
        <w:t>Mycobacterium tuberculosis</w:t>
      </w:r>
      <w:r>
        <w:rPr>
          <w:rFonts w:eastAsia="黑体"/>
          <w:szCs w:val="28"/>
        </w:rPr>
        <w:t xml:space="preserve"> recombinant protein in detection of tuberculosis infection</w:t>
      </w:r>
    </w:p>
    <w:p w14:paraId="6716CAC0">
      <w:pPr>
        <w:framePr w:w="9639" w:h="6974" w:hRule="exact" w:wrap="around" w:vAnchor="page" w:hAnchor="page" w:x="1419" w:y="6408" w:anchorLock="1"/>
        <w:spacing w:line="760" w:lineRule="exact"/>
        <w:ind w:left="-1418"/>
      </w:pPr>
    </w:p>
    <w:p w14:paraId="706D1D16">
      <w:pPr>
        <w:pStyle w:val="128"/>
        <w:framePr w:w="9639" w:h="6974" w:hRule="exact" w:wrap="around" w:vAnchor="page" w:hAnchor="page" w:x="1419" w:y="6408" w:anchorLock="1"/>
        <w:textAlignment w:val="bottom"/>
        <w:rPr>
          <w:rFonts w:eastAsia="黑体"/>
          <w:szCs w:val="28"/>
        </w:rPr>
      </w:pPr>
    </w:p>
    <w:p w14:paraId="2501C011">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4F321561">
      <w:pPr>
        <w:pStyle w:val="128"/>
        <w:framePr w:w="9639" w:h="6974" w:hRule="exact" w:wrap="around" w:vAnchor="page" w:hAnchor="page" w:x="1419" w:y="6408" w:anchorLock="1"/>
        <w:spacing w:before="180" w:line="240" w:lineRule="atLeast"/>
        <w:textAlignment w:val="bottom"/>
        <w:rPr>
          <w:sz w:val="21"/>
          <w:szCs w:val="28"/>
        </w:rPr>
      </w:pPr>
      <w:r>
        <w:rPr>
          <w:sz w:val="21"/>
          <w:szCs w:val="28"/>
        </w:rPr>
        <w:t>1.0</w:t>
      </w:r>
      <w:r>
        <w:rPr>
          <w:rFonts w:hint="eastAsia"/>
          <w:sz w:val="21"/>
          <w:szCs w:val="28"/>
        </w:rPr>
        <w:t>版</w:t>
      </w:r>
    </w:p>
    <w:p w14:paraId="4F6B15D6">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14:paraId="5A318649">
      <w:pPr>
        <w:pStyle w:val="196"/>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38F98CAA">
      <w:pPr>
        <w:pStyle w:val="197"/>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5896300C">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7"/>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75B579BD">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AB15C58">
      <w:pPr>
        <w:spacing w:line="20" w:lineRule="exact"/>
        <w:jc w:val="center"/>
        <w:rPr>
          <w:rFonts w:ascii="黑体" w:hAnsi="黑体" w:eastAsia="黑体"/>
          <w:sz w:val="32"/>
          <w:szCs w:val="32"/>
        </w:rPr>
      </w:pPr>
      <w:bookmarkStart w:id="18" w:name="BookMark4"/>
    </w:p>
    <w:p w14:paraId="613092CE">
      <w:pPr>
        <w:spacing w:line="20" w:lineRule="exact"/>
        <w:jc w:val="center"/>
        <w:rPr>
          <w:rFonts w:ascii="黑体" w:hAnsi="黑体" w:eastAsia="黑体"/>
          <w:sz w:val="32"/>
          <w:szCs w:val="32"/>
        </w:rPr>
      </w:pPr>
    </w:p>
    <w:sdt>
      <w:sdtPr>
        <w:tag w:val="NEW_STAND_NAME"/>
        <w:id w:val="595910757"/>
        <w:lock w:val="sdtLocked"/>
        <w:placeholder>
          <w:docPart w:val="26DA0F1CC9394CA6AC4C096A414ADCBA"/>
        </w:placeholder>
      </w:sdtPr>
      <w:sdtContent>
        <w:p w14:paraId="328C6082">
          <w:pPr>
            <w:pStyle w:val="180"/>
            <w:rPr>
              <w:rFonts w:hint="eastAsia"/>
            </w:rPr>
          </w:pPr>
          <w:bookmarkStart w:id="19" w:name="NEW_STAND_NAME"/>
          <w:r>
            <w:rPr>
              <w:rFonts w:hint="eastAsia"/>
            </w:rPr>
            <w:t>皮肤试验用结核分枝杆菌</w:t>
          </w:r>
          <w:r>
            <w:rPr>
              <w:rFonts w:hint="eastAsia"/>
              <w:lang w:val="en-US" w:eastAsia="zh-CN"/>
            </w:rPr>
            <w:t>重组蛋白</w:t>
          </w:r>
          <w:r>
            <w:rPr>
              <w:rFonts w:hint="eastAsia"/>
            </w:rPr>
            <w:t>在结核感染检测中的</w:t>
          </w:r>
        </w:p>
        <w:p w14:paraId="0180CCB8">
          <w:pPr>
            <w:pStyle w:val="180"/>
          </w:pPr>
          <w:r>
            <w:rPr>
              <w:rFonts w:hint="eastAsia"/>
            </w:rPr>
            <w:t>应用技术规范</w:t>
          </w:r>
        </w:p>
      </w:sdtContent>
    </w:sdt>
    <w:bookmarkEnd w:id="19"/>
    <w:p w14:paraId="10BDF317">
      <w:pPr>
        <w:pStyle w:val="107"/>
        <w:spacing w:before="312" w:after="312"/>
      </w:pPr>
      <w:bookmarkStart w:id="20" w:name="_Toc24884211"/>
      <w:bookmarkStart w:id="21" w:name="_Toc26986530"/>
      <w:bookmarkStart w:id="22" w:name="_Toc26648465"/>
      <w:bookmarkStart w:id="23" w:name="_Toc97191423"/>
      <w:bookmarkStart w:id="24" w:name="_Toc17233333"/>
      <w:bookmarkStart w:id="25" w:name="_Toc17233325"/>
      <w:bookmarkStart w:id="26" w:name="_Toc26986771"/>
      <w:bookmarkStart w:id="27" w:name="_Toc26718930"/>
      <w:bookmarkStart w:id="28" w:name="_Toc24884218"/>
      <w:r>
        <w:rPr>
          <w:rFonts w:hint="eastAsia"/>
        </w:rPr>
        <w:t>范围</w:t>
      </w:r>
      <w:bookmarkEnd w:id="20"/>
      <w:bookmarkEnd w:id="21"/>
      <w:bookmarkEnd w:id="22"/>
      <w:bookmarkEnd w:id="23"/>
      <w:bookmarkEnd w:id="24"/>
      <w:bookmarkEnd w:id="25"/>
      <w:bookmarkEnd w:id="26"/>
      <w:bookmarkEnd w:id="27"/>
      <w:bookmarkEnd w:id="28"/>
    </w:p>
    <w:p w14:paraId="62237F1D">
      <w:pPr>
        <w:pStyle w:val="59"/>
        <w:ind w:firstLine="420"/>
      </w:pPr>
      <w:bookmarkStart w:id="29" w:name="_Toc24884219"/>
      <w:bookmarkStart w:id="30" w:name="_Toc17233326"/>
      <w:bookmarkStart w:id="31" w:name="_Toc17233334"/>
      <w:bookmarkStart w:id="32" w:name="_Toc24884212"/>
      <w:bookmarkStart w:id="33" w:name="_Toc26648466"/>
      <w:r>
        <w:rPr>
          <w:rFonts w:hint="eastAsia"/>
        </w:rPr>
        <w:t>本文件规定了结核分枝杆菌重组蛋白用于结核感染检测的使用范围、禁忌证、操作流程和方法、质量控制等。</w:t>
      </w:r>
    </w:p>
    <w:p w14:paraId="06D05980">
      <w:pPr>
        <w:pStyle w:val="59"/>
        <w:ind w:firstLine="420"/>
      </w:pPr>
      <w:r>
        <w:rPr>
          <w:rFonts w:hint="eastAsia"/>
        </w:rPr>
        <w:t>本文件适用于我省各级疾病预防控制机构、结核病定点医疗机构、综合性医疗机构、基层医疗卫生机构和其他相关机构。</w:t>
      </w:r>
    </w:p>
    <w:p w14:paraId="02062E70">
      <w:pPr>
        <w:pStyle w:val="107"/>
        <w:spacing w:before="312" w:after="312"/>
      </w:pPr>
      <w:bookmarkStart w:id="34" w:name="_Toc97191424"/>
      <w:bookmarkStart w:id="35" w:name="_Toc26718931"/>
      <w:bookmarkStart w:id="36" w:name="_Toc26986772"/>
      <w:bookmarkStart w:id="37" w:name="_Toc26986531"/>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702329DD3F914758AB1C053252405D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230353C">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E7721A1">
      <w:pPr>
        <w:pStyle w:val="59"/>
        <w:ind w:firstLine="420"/>
      </w:pPr>
      <w:r>
        <w:rPr>
          <w:rFonts w:hint="eastAsia"/>
        </w:rPr>
        <w:t>W</w:t>
      </w:r>
      <w:r>
        <w:t xml:space="preserve">S 288-2017 </w:t>
      </w:r>
      <w:r>
        <w:rPr>
          <w:rFonts w:hint="eastAsia"/>
        </w:rPr>
        <w:t>肺结核诊断标准</w:t>
      </w:r>
    </w:p>
    <w:p w14:paraId="4B51FE5F">
      <w:pPr>
        <w:pStyle w:val="59"/>
        <w:ind w:firstLine="420"/>
      </w:pPr>
      <w:r>
        <w:rPr>
          <w:rFonts w:hint="eastAsia"/>
        </w:rPr>
        <w:t>《预防接种工作规范（2023年版）》</w:t>
      </w:r>
    </w:p>
    <w:p w14:paraId="05C99247">
      <w:pPr>
        <w:pStyle w:val="59"/>
        <w:ind w:firstLine="420"/>
      </w:pPr>
      <w:r>
        <w:rPr>
          <w:rFonts w:hint="eastAsia"/>
        </w:rPr>
        <w:t>《中国结核病预防控制工作技术规范（2020版）》</w:t>
      </w:r>
    </w:p>
    <w:p w14:paraId="1A9F3B16">
      <w:pPr>
        <w:pStyle w:val="59"/>
        <w:ind w:firstLine="420"/>
      </w:pPr>
    </w:p>
    <w:p w14:paraId="264FA38D">
      <w:pPr>
        <w:pStyle w:val="107"/>
        <w:spacing w:before="312" w:after="312"/>
      </w:pPr>
      <w:bookmarkStart w:id="38" w:name="_Toc97191425"/>
      <w:r>
        <w:rPr>
          <w:rFonts w:hint="eastAsia"/>
          <w:szCs w:val="21"/>
        </w:rPr>
        <w:t>术语和定义</w:t>
      </w:r>
      <w:bookmarkEnd w:id="38"/>
    </w:p>
    <w:sdt>
      <w:sdtPr>
        <w:id w:val="-1"/>
        <w:placeholder>
          <w:docPart w:val="4AA866707D894BE2994F4244047DB2B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42234D">
          <w:pPr>
            <w:pStyle w:val="59"/>
            <w:ind w:firstLine="420"/>
          </w:pPr>
          <w:bookmarkStart w:id="39" w:name="_Toc26986532"/>
          <w:bookmarkEnd w:id="39"/>
          <w:r>
            <w:t>下列术语和定义适用于本文件。</w:t>
          </w:r>
        </w:p>
      </w:sdtContent>
    </w:sdt>
    <w:p w14:paraId="7C511AF5">
      <w:pPr>
        <w:pStyle w:val="59"/>
        <w:spacing w:before="156" w:beforeLines="50" w:after="156" w:afterLines="50"/>
        <w:ind w:firstLine="0" w:firstLineChars="0"/>
      </w:pPr>
      <w:r>
        <w:rPr>
          <w:rFonts w:hint="eastAsia"/>
        </w:rPr>
        <w:t>3</w:t>
      </w:r>
      <w:r>
        <w:t>.1</w:t>
      </w:r>
    </w:p>
    <w:p w14:paraId="4E842EFA">
      <w:pPr>
        <w:pStyle w:val="59"/>
        <w:ind w:firstLine="420"/>
      </w:pPr>
      <w:r>
        <w:rPr>
          <w:rFonts w:hint="eastAsia"/>
        </w:rPr>
        <w:t xml:space="preserve">结核分枝杆菌重组蛋白 recombinant protein of </w:t>
      </w:r>
      <w:r>
        <w:rPr>
          <w:rFonts w:hint="eastAsia"/>
          <w:i/>
          <w:iCs/>
        </w:rPr>
        <w:t>Mycobacterium</w:t>
      </w:r>
      <w:r>
        <w:rPr>
          <w:i/>
          <w:iCs/>
        </w:rPr>
        <w:t xml:space="preserve"> tuberculosis</w:t>
      </w:r>
    </w:p>
    <w:p w14:paraId="400AFDF8">
      <w:pPr>
        <w:pStyle w:val="59"/>
        <w:ind w:firstLine="420"/>
      </w:pPr>
      <w:r>
        <w:rPr>
          <w:rFonts w:hint="eastAsia"/>
        </w:rPr>
        <w:t>通过基因工程方法表达的结核分枝杆菌特异性蛋白，大多数以ESAT6和CFP10为目标抗原，通过不同组合方式构成重组蛋白。</w:t>
      </w:r>
    </w:p>
    <w:p w14:paraId="1E8C2C61">
      <w:pPr>
        <w:pStyle w:val="107"/>
        <w:spacing w:before="312" w:after="312"/>
        <w:rPr>
          <w:szCs w:val="21"/>
        </w:rPr>
      </w:pPr>
      <w:r>
        <w:rPr>
          <w:rFonts w:hint="eastAsia"/>
          <w:szCs w:val="21"/>
        </w:rPr>
        <w:t>使用范围</w:t>
      </w:r>
    </w:p>
    <w:p w14:paraId="028F5A5C">
      <w:pPr>
        <w:pStyle w:val="59"/>
        <w:spacing w:before="156" w:beforeLines="50" w:after="156" w:afterLines="50"/>
        <w:ind w:firstLine="420"/>
      </w:pPr>
      <w:r>
        <w:t xml:space="preserve">4.1 </w:t>
      </w:r>
      <w:r>
        <w:rPr>
          <w:rFonts w:hint="eastAsia"/>
        </w:rPr>
        <w:t>结核分枝杆菌感染筛查：</w:t>
      </w:r>
    </w:p>
    <w:p w14:paraId="622FE877">
      <w:pPr>
        <w:pStyle w:val="59"/>
        <w:spacing w:before="156" w:beforeLines="50" w:after="156" w:afterLines="50"/>
        <w:ind w:firstLine="420"/>
      </w:pPr>
      <w:r>
        <w:rPr>
          <w:rFonts w:hint="eastAsia"/>
        </w:rPr>
        <w:t>4.1.</w:t>
      </w:r>
      <w:r>
        <w:t>1</w:t>
      </w:r>
      <w:r>
        <w:rPr>
          <w:rFonts w:hint="eastAsia"/>
        </w:rPr>
        <w:t xml:space="preserve"> 结核病发病高风险人群和重点场所人群的结核分枝杆菌感染筛查。高风险人群包括：结核病患者密切接触者、艾滋病毒感染者及艾滋病患者、需使用肿瘤坏死因子治疗、长期应用透析治疗、准备做器官移植或骨髓移植者、矽肺患者，以及长期应用糖皮质激素或其它免疫抑制剂人群等。重点场所人群包括：家庭、学校、养老院/敬老院、福利院、精神病院等人员密集场所人群。</w:t>
      </w:r>
    </w:p>
    <w:p w14:paraId="62F61138">
      <w:pPr>
        <w:pStyle w:val="59"/>
        <w:spacing w:before="156" w:beforeLines="50" w:after="156" w:afterLines="50"/>
        <w:ind w:firstLine="420"/>
      </w:pPr>
      <w:r>
        <w:rPr>
          <w:rFonts w:hint="eastAsia"/>
        </w:rPr>
        <w:t>4.1.</w:t>
      </w:r>
      <w:r>
        <w:t>2</w:t>
      </w:r>
      <w:r>
        <w:rPr>
          <w:rFonts w:hint="eastAsia"/>
        </w:rPr>
        <w:t xml:space="preserve"> 全人群结核分枝杆菌感染的流行病学调查。</w:t>
      </w:r>
    </w:p>
    <w:p w14:paraId="14FF7214">
      <w:pPr>
        <w:pStyle w:val="59"/>
        <w:spacing w:before="156" w:beforeLines="50" w:after="156" w:afterLines="50"/>
        <w:ind w:firstLine="420"/>
      </w:pPr>
      <w:r>
        <w:rPr>
          <w:rFonts w:hint="eastAsia"/>
        </w:rPr>
        <w:t>4</w:t>
      </w:r>
      <w:r>
        <w:t xml:space="preserve">.2 </w:t>
      </w:r>
      <w:r>
        <w:rPr>
          <w:rFonts w:hint="eastAsia"/>
        </w:rPr>
        <w:t>病原学阴性肺结核和肺外结核病的辅助诊断参考。</w:t>
      </w:r>
    </w:p>
    <w:p w14:paraId="26C82FDA">
      <w:pPr>
        <w:pStyle w:val="107"/>
        <w:spacing w:before="312" w:after="312"/>
        <w:rPr>
          <w:rFonts w:hint="eastAsia"/>
          <w:szCs w:val="21"/>
        </w:rPr>
      </w:pPr>
      <w:r>
        <w:rPr>
          <w:rFonts w:hint="eastAsia"/>
          <w:szCs w:val="21"/>
        </w:rPr>
        <w:t>禁忌证</w:t>
      </w:r>
    </w:p>
    <w:p w14:paraId="68E075B7">
      <w:pPr>
        <w:pStyle w:val="59"/>
        <w:spacing w:before="156" w:beforeLines="50" w:after="156" w:afterLines="50"/>
        <w:ind w:firstLine="420"/>
      </w:pPr>
      <w:r>
        <w:t>5</w:t>
      </w:r>
      <w:r>
        <w:rPr>
          <w:rFonts w:hint="eastAsia"/>
        </w:rPr>
        <w:t>.1 有</w:t>
      </w:r>
      <w:r>
        <w:t>明确药物过敏史者</w:t>
      </w:r>
      <w:r>
        <w:rPr>
          <w:rFonts w:hint="eastAsia"/>
        </w:rPr>
        <w:t>或严重过敏反应者（如急性过敏反应、血管神经性水肿、呼吸困难等）。</w:t>
      </w:r>
    </w:p>
    <w:p w14:paraId="0610DE2D">
      <w:pPr>
        <w:pStyle w:val="59"/>
        <w:spacing w:before="156" w:beforeLines="50" w:after="156" w:afterLines="50"/>
        <w:ind w:firstLine="420"/>
      </w:pPr>
      <w:r>
        <w:rPr>
          <w:rFonts w:hint="eastAsia"/>
        </w:rPr>
        <w:t>5.2 全身性皮肤病患者，或在皮试位置（前臂掌侧中部）出现大面积烧伤、湿疹等皮肤反应及皮肤破损。</w:t>
      </w:r>
    </w:p>
    <w:p w14:paraId="50281F04">
      <w:pPr>
        <w:pStyle w:val="59"/>
        <w:spacing w:before="156" w:beforeLines="50" w:after="156" w:afterLines="50"/>
        <w:ind w:firstLine="420"/>
      </w:pPr>
      <w:r>
        <w:t>5</w:t>
      </w:r>
      <w:r>
        <w:rPr>
          <w:rFonts w:hint="eastAsia"/>
        </w:rPr>
        <w:t>.2 患急性传染病（如麻疹、百日咳、流行性感冒、急性眼结膜炎等）、肺炎、急性中耳炎。</w:t>
      </w:r>
    </w:p>
    <w:p w14:paraId="2E3ABEE9">
      <w:pPr>
        <w:pStyle w:val="59"/>
        <w:spacing w:before="156" w:beforeLines="50" w:after="156" w:afterLines="50"/>
        <w:ind w:firstLine="420"/>
      </w:pPr>
      <w:r>
        <w:t>5</w:t>
      </w:r>
      <w:r>
        <w:rPr>
          <w:rFonts w:hint="eastAsia"/>
        </w:rPr>
        <w:t>.3 有惊厥、癫痫或癔症史者。</w:t>
      </w:r>
    </w:p>
    <w:p w14:paraId="1EBABE0C">
      <w:pPr>
        <w:pStyle w:val="59"/>
        <w:spacing w:before="156" w:beforeLines="50" w:after="156" w:afterLines="50"/>
        <w:ind w:firstLine="420"/>
      </w:pPr>
      <w:r>
        <w:t>5</w:t>
      </w:r>
      <w:r>
        <w:rPr>
          <w:rFonts w:hint="eastAsia"/>
        </w:rPr>
        <w:t>.4 临床医生判定暂不适合进行该试验者。</w:t>
      </w:r>
    </w:p>
    <w:bookmarkEnd w:id="18"/>
    <w:p w14:paraId="7D199E2F">
      <w:pPr>
        <w:pStyle w:val="107"/>
        <w:spacing w:before="312" w:after="312"/>
        <w:rPr>
          <w:szCs w:val="21"/>
        </w:rPr>
      </w:pPr>
      <w:r>
        <w:rPr>
          <w:rFonts w:hint="eastAsia"/>
          <w:szCs w:val="21"/>
        </w:rPr>
        <w:t>操作流程</w:t>
      </w:r>
    </w:p>
    <w:p w14:paraId="5AD66A62">
      <w:pPr>
        <w:pStyle w:val="59"/>
        <w:spacing w:before="156" w:beforeLines="50" w:after="156" w:afterLines="50"/>
        <w:ind w:firstLine="420"/>
      </w:pPr>
      <w:r>
        <w:t>6</w:t>
      </w:r>
      <w:r>
        <w:rPr>
          <w:rFonts w:hint="eastAsia"/>
        </w:rPr>
        <w:t>.</w:t>
      </w:r>
      <w:r>
        <w:t>1</w:t>
      </w:r>
      <w:r>
        <w:rPr>
          <w:rFonts w:hint="eastAsia"/>
        </w:rPr>
        <w:t xml:space="preserve"> 基本信息登记</w:t>
      </w:r>
    </w:p>
    <w:p w14:paraId="6EBC0E6F">
      <w:pPr>
        <w:pStyle w:val="59"/>
        <w:ind w:firstLine="420"/>
      </w:pPr>
      <w:r>
        <w:rPr>
          <w:rFonts w:hint="eastAsia"/>
        </w:rPr>
        <w:t>受检者的基本信息包括：姓名、性别、身份证号码、健康状况以及有无禁忌证等信息。</w:t>
      </w:r>
    </w:p>
    <w:p w14:paraId="3F82BA8D">
      <w:pPr>
        <w:pStyle w:val="59"/>
        <w:spacing w:before="156" w:beforeLines="50" w:after="156" w:afterLines="50"/>
        <w:ind w:firstLine="420"/>
      </w:pPr>
      <w:r>
        <w:t>6</w:t>
      </w:r>
      <w:r>
        <w:rPr>
          <w:rFonts w:hint="eastAsia"/>
        </w:rPr>
        <w:t>.</w:t>
      </w:r>
      <w:r>
        <w:t>2</w:t>
      </w:r>
      <w:r>
        <w:rPr>
          <w:rFonts w:hint="eastAsia"/>
        </w:rPr>
        <w:t xml:space="preserve"> 物品准备</w:t>
      </w:r>
    </w:p>
    <w:p w14:paraId="505E70A1">
      <w:pPr>
        <w:pStyle w:val="59"/>
        <w:spacing w:before="156" w:beforeLines="50" w:after="156" w:afterLines="50"/>
        <w:ind w:firstLine="420"/>
      </w:pPr>
      <w:r>
        <w:rPr>
          <w:rFonts w:hint="eastAsia"/>
        </w:rPr>
        <w:t>6.2.1 注射操作用：一次性注射器，4</w:t>
      </w:r>
      <w:r>
        <w:rPr>
          <w:rFonts w:hint="eastAsia" w:ascii="华文楷体" w:hAnsi="华文楷体" w:eastAsia="华文楷体"/>
        </w:rPr>
        <w:t>−</w:t>
      </w:r>
      <w:r>
        <w:rPr>
          <w:rFonts w:hint="eastAsia"/>
        </w:rPr>
        <w:t>5号针头；75%消毒酒精及消毒棉签；治疗盘、结核分枝杆菌重组蛋白试剂；冰箱、冷藏箱（或冷藏包）。</w:t>
      </w:r>
    </w:p>
    <w:p w14:paraId="0030846F">
      <w:pPr>
        <w:pStyle w:val="59"/>
        <w:spacing w:before="156" w:beforeLines="50" w:after="156" w:afterLines="50"/>
        <w:ind w:firstLine="420"/>
      </w:pPr>
      <w:r>
        <w:rPr>
          <w:rFonts w:hint="eastAsia"/>
        </w:rPr>
        <w:t>6.2.2 结果判读用：标记红晕及硬结边缘的记号笔；经过计量标定的测量卡尺。</w:t>
      </w:r>
    </w:p>
    <w:p w14:paraId="5D43DF50">
      <w:pPr>
        <w:pStyle w:val="59"/>
        <w:spacing w:before="156" w:beforeLines="50" w:after="156" w:afterLines="50"/>
        <w:ind w:firstLine="420"/>
      </w:pPr>
      <w:r>
        <w:rPr>
          <w:rFonts w:hint="eastAsia"/>
        </w:rPr>
        <w:t>6.2.3 信息记录用：笔；测量结果记录表。</w:t>
      </w:r>
    </w:p>
    <w:p w14:paraId="4B538197">
      <w:pPr>
        <w:pStyle w:val="59"/>
        <w:spacing w:before="156" w:beforeLines="50" w:after="156" w:afterLines="50"/>
        <w:ind w:firstLine="420"/>
      </w:pPr>
      <w:r>
        <w:rPr>
          <w:rFonts w:hint="eastAsia"/>
        </w:rPr>
        <w:t>6.2.4 医疗相关类：温度监测器材或设备；健康教育材料；利器盒；医用垃圾袋；急救药械等。</w:t>
      </w:r>
    </w:p>
    <w:p w14:paraId="26DF04A9">
      <w:pPr>
        <w:pStyle w:val="59"/>
        <w:spacing w:before="156" w:beforeLines="50" w:after="156" w:afterLines="50"/>
        <w:ind w:firstLine="420"/>
      </w:pPr>
      <w:r>
        <w:t>6</w:t>
      </w:r>
      <w:r>
        <w:rPr>
          <w:rFonts w:hint="eastAsia"/>
        </w:rPr>
        <w:t>.3 皮试注射</w:t>
      </w:r>
    </w:p>
    <w:p w14:paraId="54C2977E">
      <w:pPr>
        <w:pStyle w:val="59"/>
        <w:spacing w:before="156" w:beforeLines="50" w:after="156" w:afterLines="50"/>
        <w:ind w:firstLine="420"/>
      </w:pPr>
      <w:r>
        <w:rPr>
          <w:rFonts w:hint="eastAsia"/>
        </w:rPr>
        <w:t>6.3.1 现场药品准备和检查：皮试前，将试剂从冷链设备内取出（尽量减少开启冷链设备的次数，</w:t>
      </w:r>
      <w:r>
        <w:rPr>
          <w:rFonts w:hint="eastAsia" w:ascii="宋体" w:hAnsi="Times New Roman" w:eastAsia="宋体" w:cs="Times New Roman"/>
          <w:color w:val="auto"/>
          <w:sz w:val="21"/>
          <w:szCs w:val="21"/>
        </w:rPr>
        <w:t>西林瓶不可直接放在冰上或泡在冰水中</w:t>
      </w:r>
      <w:r>
        <w:rPr>
          <w:rFonts w:hint="eastAsia"/>
        </w:rPr>
        <w:t>）。检查试剂外观，凡过期、变色、污染、发霉、有异物、无标签或标签不清以及试剂瓶（或预填充注射器）有裂纹的，一律不得使用。</w:t>
      </w:r>
    </w:p>
    <w:p w14:paraId="483A9D48">
      <w:pPr>
        <w:pStyle w:val="59"/>
        <w:spacing w:before="156" w:beforeLines="50" w:after="156" w:afterLines="50"/>
        <w:ind w:firstLine="420"/>
      </w:pPr>
      <w:r>
        <w:rPr>
          <w:rFonts w:hint="eastAsia"/>
        </w:rPr>
        <w:t>6.3.2 注射部位：前臂掌侧前1/3处。</w:t>
      </w:r>
    </w:p>
    <w:p w14:paraId="7B357958">
      <w:pPr>
        <w:pStyle w:val="59"/>
        <w:spacing w:before="156" w:beforeLines="50" w:after="156" w:afterLines="50"/>
        <w:ind w:firstLine="420"/>
      </w:pPr>
      <w:r>
        <w:rPr>
          <w:rFonts w:hint="eastAsia"/>
        </w:rPr>
        <w:t>6.3.3 操作方法：</w:t>
      </w:r>
    </w:p>
    <w:p w14:paraId="07480D82">
      <w:pPr>
        <w:pStyle w:val="59"/>
        <w:spacing w:before="156" w:beforeLines="50" w:after="156" w:afterLines="50"/>
        <w:ind w:firstLine="420"/>
      </w:pPr>
      <w:r>
        <w:rPr>
          <w:rFonts w:hint="eastAsia"/>
        </w:rPr>
        <w:t>a.皮试前打开或取出注射器材,核对受检者姓名。参照产品说明书，吸取适量试剂，排尽注射器内空气（注射器内试剂量为0.1ml）。</w:t>
      </w:r>
    </w:p>
    <w:p w14:paraId="3FDB69B8">
      <w:pPr>
        <w:pStyle w:val="59"/>
        <w:spacing w:before="156" w:beforeLines="50" w:after="156" w:afterLines="50"/>
        <w:ind w:firstLine="420"/>
      </w:pPr>
      <w:r>
        <w:rPr>
          <w:rFonts w:hint="eastAsia"/>
        </w:rPr>
        <w:t>b.皮肤常规消毒，左手绷紧注射部位皮肤，右手以平执式持注射器，食指固定针管，针头斜面向上，与皮肤呈5°～10°角</w:t>
      </w:r>
      <w:r>
        <w:rPr>
          <w:rFonts w:hint="eastAsia" w:ascii="宋体" w:hAnsi="Times New Roman" w:eastAsia="宋体" w:cs="Times New Roman"/>
          <w:color w:val="auto"/>
          <w:sz w:val="21"/>
        </w:rPr>
        <w:t>（与皮肤几乎平行）</w:t>
      </w:r>
      <w:r>
        <w:rPr>
          <w:rFonts w:hint="eastAsia"/>
        </w:rPr>
        <w:t>刺入皮内。</w:t>
      </w:r>
    </w:p>
    <w:p w14:paraId="7B242AEC">
      <w:pPr>
        <w:pStyle w:val="59"/>
        <w:spacing w:before="156" w:beforeLines="50" w:after="156" w:afterLines="50"/>
        <w:ind w:firstLine="420"/>
      </w:pPr>
      <w:r>
        <w:t>C</w:t>
      </w:r>
      <w:r>
        <w:rPr>
          <w:rFonts w:hint="eastAsia"/>
        </w:rPr>
        <w:t>.再用左手拇指固定针栓，缓慢准确地注射0.1ml试剂，使注射部位形成一个圆形隆起的皮丘，皮肤变白，毛孔变大，注射完毕，针管顺时针方向旋转180°后，迅速拔出针头。</w:t>
      </w:r>
    </w:p>
    <w:p w14:paraId="0BB0AB33">
      <w:pPr>
        <w:pStyle w:val="59"/>
        <w:spacing w:before="156" w:beforeLines="50" w:after="156" w:afterLines="50"/>
        <w:ind w:firstLine="420"/>
      </w:pPr>
      <w:r>
        <w:rPr>
          <w:rFonts w:hint="eastAsia"/>
        </w:rPr>
        <w:t>d.记录注射时间、操作者姓名。</w:t>
      </w:r>
    </w:p>
    <w:p w14:paraId="13A4876A">
      <w:pPr>
        <w:pStyle w:val="59"/>
        <w:spacing w:before="156" w:beforeLines="50" w:after="156" w:afterLines="50"/>
        <w:ind w:firstLine="420"/>
      </w:pPr>
      <w:r>
        <w:t>6</w:t>
      </w:r>
      <w:r>
        <w:rPr>
          <w:rFonts w:hint="eastAsia"/>
        </w:rPr>
        <w:t>.4 结果测量</w:t>
      </w:r>
    </w:p>
    <w:p w14:paraId="29EBB6B7">
      <w:pPr>
        <w:pStyle w:val="59"/>
        <w:spacing w:before="156" w:beforeLines="50" w:after="156" w:afterLines="50"/>
        <w:ind w:firstLine="420"/>
      </w:pPr>
      <w:r>
        <w:t>6.</w:t>
      </w:r>
      <w:r>
        <w:rPr>
          <w:rFonts w:hint="eastAsia"/>
        </w:rPr>
        <w:t>4</w:t>
      </w:r>
      <w:r>
        <w:t>.</w:t>
      </w:r>
      <w:r>
        <w:rPr>
          <w:rFonts w:hint="eastAsia"/>
        </w:rPr>
        <w:t>1 判读时间：注射后48h</w:t>
      </w:r>
      <w:r>
        <w:t>-</w:t>
      </w:r>
      <w:r>
        <w:rPr>
          <w:rFonts w:hint="eastAsia"/>
        </w:rPr>
        <w:t>72h，以48小时观察结果最佳。</w:t>
      </w:r>
    </w:p>
    <w:p w14:paraId="52CD4FB7">
      <w:pPr>
        <w:pStyle w:val="59"/>
        <w:spacing w:before="156" w:beforeLines="50" w:after="156" w:afterLines="50"/>
        <w:ind w:firstLine="420"/>
      </w:pPr>
      <w:r>
        <w:t>6</w:t>
      </w:r>
      <w:r>
        <w:rPr>
          <w:rFonts w:hint="eastAsia"/>
        </w:rPr>
        <w:t>.4.2 测量方法：在光线明亮处仔细观察，用记号笔标记红晕和硬结的边缘，测量和记录注射局部形成的红晕和硬结的横径和纵径的毫米（mm）数；</w:t>
      </w:r>
    </w:p>
    <w:p w14:paraId="4D5F2257">
      <w:pPr>
        <w:pStyle w:val="59"/>
        <w:spacing w:before="156" w:beforeLines="50" w:after="156" w:afterLines="50"/>
        <w:ind w:firstLine="420"/>
      </w:pPr>
      <w:r>
        <w:t>6</w:t>
      </w:r>
      <w:r>
        <w:rPr>
          <w:rFonts w:hint="eastAsia"/>
        </w:rPr>
        <w:t>.4.3 结果判读：</w:t>
      </w:r>
    </w:p>
    <w:p w14:paraId="45D59D38">
      <w:pPr>
        <w:pStyle w:val="59"/>
        <w:spacing w:before="156" w:beforeLines="50" w:after="156" w:afterLines="50"/>
        <w:ind w:firstLine="420"/>
      </w:pPr>
      <w:r>
        <w:rPr>
          <w:rFonts w:hint="eastAsia"/>
        </w:rPr>
        <w:t>a.根据产品说明书，以红晕或硬结平均直径（横径与纵径之和除以2）大者为准。</w:t>
      </w:r>
    </w:p>
    <w:p w14:paraId="77248993">
      <w:pPr>
        <w:pStyle w:val="59"/>
        <w:spacing w:before="156" w:beforeLines="50" w:after="156" w:afterLines="50"/>
        <w:ind w:firstLine="420"/>
      </w:pPr>
      <w:r>
        <w:rPr>
          <w:rFonts w:hint="eastAsia"/>
        </w:rPr>
        <w:t>b.阴性结果判断  硬结和红晕平均直径均&lt;5mm者，判定检测结果为阴性。</w:t>
      </w:r>
    </w:p>
    <w:p w14:paraId="42A19F6E">
      <w:pPr>
        <w:pStyle w:val="59"/>
        <w:spacing w:before="156" w:beforeLines="50" w:after="156" w:afterLines="50"/>
        <w:ind w:firstLine="420"/>
      </w:pPr>
      <w:r>
        <w:rPr>
          <w:rFonts w:hint="eastAsia"/>
        </w:rPr>
        <w:t>c.阳性结果判断  硬结或红晕平均直径</w:t>
      </w:r>
      <w:r>
        <w:rPr>
          <w:rFonts w:hint="eastAsia" w:hAnsi="宋体"/>
        </w:rPr>
        <w:t>≥</w:t>
      </w:r>
      <w:r>
        <w:rPr>
          <w:rFonts w:hint="eastAsia"/>
        </w:rPr>
        <w:t>5mm者，判定检测结果为阳性。不论硬结或红晕平均直径大小，凡有水泡、坏死、淋巴管炎者均属于强阳性反应，判定检测结果亦为阳性。</w:t>
      </w:r>
    </w:p>
    <w:p w14:paraId="2977F307">
      <w:pPr>
        <w:pStyle w:val="59"/>
        <w:spacing w:before="156" w:beforeLines="50" w:after="156" w:afterLines="50"/>
        <w:ind w:firstLine="420"/>
      </w:pPr>
      <w:r>
        <w:rPr>
          <w:rFonts w:hint="eastAsia"/>
        </w:rPr>
        <w:t>d.检测结果为阳性者视为处于感染状态；检测结果阴性者（除外免疫抑制情况），如果为近3个月内的肺结核患者密切接触者，建议在初次检测后2个月再次进行检测，复测后结果为阴性或者未复测均视为未感染。</w:t>
      </w:r>
    </w:p>
    <w:p w14:paraId="79B31B52">
      <w:pPr>
        <w:pStyle w:val="107"/>
        <w:spacing w:before="312" w:after="312"/>
        <w:rPr>
          <w:szCs w:val="21"/>
        </w:rPr>
      </w:pPr>
      <w:r>
        <w:rPr>
          <w:rFonts w:hint="eastAsia"/>
          <w:szCs w:val="21"/>
        </w:rPr>
        <w:t>质量保证</w:t>
      </w:r>
    </w:p>
    <w:p w14:paraId="672C1970">
      <w:pPr>
        <w:pStyle w:val="59"/>
        <w:spacing w:before="156" w:beforeLines="50" w:after="156" w:afterLines="50"/>
        <w:ind w:firstLine="420"/>
      </w:pPr>
      <w:r>
        <w:t>7</w:t>
      </w:r>
      <w:r>
        <w:rPr>
          <w:rFonts w:hint="eastAsia"/>
        </w:rPr>
        <w:t>.1 人员培训</w:t>
      </w:r>
    </w:p>
    <w:p w14:paraId="21D8D93F">
      <w:pPr>
        <w:pStyle w:val="59"/>
        <w:spacing w:before="156" w:beforeLines="50" w:after="156" w:afterLines="50"/>
        <w:ind w:firstLine="420"/>
      </w:pPr>
      <w:r>
        <w:t>7</w:t>
      </w:r>
      <w:r>
        <w:rPr>
          <w:rFonts w:hint="eastAsia"/>
        </w:rPr>
        <w:t>.1.1 皮肤试验前的准备工作培训</w:t>
      </w:r>
    </w:p>
    <w:p w14:paraId="17130D85">
      <w:pPr>
        <w:pStyle w:val="59"/>
        <w:spacing w:before="156" w:beforeLines="50" w:after="156" w:afterLines="50"/>
        <w:ind w:firstLine="420"/>
      </w:pPr>
      <w:r>
        <w:t>7</w:t>
      </w:r>
      <w:r>
        <w:rPr>
          <w:rFonts w:hint="eastAsia"/>
        </w:rPr>
        <w:t>.1.2 皮肤试验操作方法、结果判读等相关培训</w:t>
      </w:r>
    </w:p>
    <w:p w14:paraId="50FA73AB">
      <w:pPr>
        <w:pStyle w:val="59"/>
        <w:spacing w:before="156" w:beforeLines="50" w:after="156" w:afterLines="50"/>
        <w:ind w:firstLine="420"/>
      </w:pPr>
      <w:r>
        <w:rPr>
          <w:rFonts w:hint="eastAsia"/>
        </w:rPr>
        <w:t>由资深医护人员进行标准化皮肤试验操作带教培训，培训完现场考核，通过者方可上岗。</w:t>
      </w:r>
    </w:p>
    <w:p w14:paraId="3334447C">
      <w:pPr>
        <w:pStyle w:val="59"/>
        <w:spacing w:before="156" w:beforeLines="50" w:after="156" w:afterLines="50"/>
        <w:ind w:firstLine="420"/>
      </w:pPr>
      <w:r>
        <w:t>7</w:t>
      </w:r>
      <w:r>
        <w:rPr>
          <w:rFonts w:hint="eastAsia"/>
        </w:rPr>
        <w:t>.2 受检者的健康教育</w:t>
      </w:r>
    </w:p>
    <w:p w14:paraId="773408F5">
      <w:pPr>
        <w:pStyle w:val="59"/>
        <w:spacing w:before="156" w:beforeLines="50" w:after="156" w:afterLines="50"/>
        <w:ind w:firstLine="420"/>
      </w:pPr>
      <w:r>
        <w:t>7</w:t>
      </w:r>
      <w:r>
        <w:rPr>
          <w:rFonts w:hint="eastAsia"/>
        </w:rPr>
        <w:t>.2.1 宣教皮肤试验目的和意义以及试验禁忌证等。</w:t>
      </w:r>
    </w:p>
    <w:p w14:paraId="5FD03A42">
      <w:pPr>
        <w:pStyle w:val="59"/>
        <w:spacing w:before="156" w:beforeLines="50" w:after="156" w:afterLines="50"/>
        <w:ind w:firstLine="420"/>
      </w:pPr>
      <w:r>
        <w:t>7</w:t>
      </w:r>
      <w:r>
        <w:rPr>
          <w:rFonts w:hint="eastAsia"/>
        </w:rPr>
        <w:t>.2.2 告知皮肤试验可能出现的反应和处理原则</w:t>
      </w:r>
    </w:p>
    <w:p w14:paraId="4211B480">
      <w:pPr>
        <w:pStyle w:val="59"/>
        <w:spacing w:before="156" w:beforeLines="50" w:after="156" w:afterLines="50"/>
        <w:ind w:firstLine="420"/>
      </w:pPr>
      <w:r>
        <w:rPr>
          <w:rFonts w:hint="eastAsia"/>
        </w:rPr>
        <w:t>a.保持注射局部干燥、清洁，嘱72小时内注射部位切勿沾水，不要在注射部位洗、擦；</w:t>
      </w:r>
    </w:p>
    <w:p w14:paraId="22489CE3">
      <w:pPr>
        <w:pStyle w:val="59"/>
        <w:spacing w:before="156" w:beforeLines="50" w:after="156" w:afterLines="50"/>
        <w:ind w:firstLine="420"/>
      </w:pPr>
      <w:r>
        <w:rPr>
          <w:rFonts w:hint="eastAsia"/>
        </w:rPr>
        <w:t>b.注射局部出现瘙痒、溃疡、水泡时的处理方法等。</w:t>
      </w:r>
    </w:p>
    <w:p w14:paraId="56B769EF">
      <w:pPr>
        <w:pStyle w:val="59"/>
        <w:spacing w:before="156" w:beforeLines="50" w:after="156" w:afterLines="50"/>
        <w:ind w:firstLine="420"/>
      </w:pPr>
      <w:r>
        <w:t>7</w:t>
      </w:r>
      <w:r>
        <w:rPr>
          <w:rFonts w:hint="eastAsia"/>
        </w:rPr>
        <w:t>.2.3 告知注射后48h</w:t>
      </w:r>
      <w:r>
        <w:t>-</w:t>
      </w:r>
      <w:r>
        <w:rPr>
          <w:rFonts w:hint="eastAsia"/>
        </w:rPr>
        <w:t>72h返回，检查注射部位反应。</w:t>
      </w:r>
    </w:p>
    <w:p w14:paraId="5567DBE0">
      <w:pPr>
        <w:pStyle w:val="59"/>
        <w:spacing w:before="156" w:beforeLines="50" w:after="156" w:afterLines="50"/>
        <w:ind w:firstLine="420"/>
      </w:pPr>
      <w:r>
        <w:t>7</w:t>
      </w:r>
      <w:r>
        <w:rPr>
          <w:rFonts w:hint="eastAsia"/>
        </w:rPr>
        <w:t>.3 试剂的保存和使用</w:t>
      </w:r>
    </w:p>
    <w:p w14:paraId="0C6B095A">
      <w:pPr>
        <w:pStyle w:val="59"/>
        <w:ind w:firstLine="420"/>
      </w:pPr>
      <w:r>
        <w:rPr>
          <w:rFonts w:hint="eastAsia"/>
        </w:rPr>
        <w:t>2℃</w:t>
      </w:r>
      <w:r>
        <w:t>-</w:t>
      </w:r>
      <w:r>
        <w:rPr>
          <w:rFonts w:hint="eastAsia"/>
        </w:rPr>
        <w:t>8℃冷藏，避光保存。同时应与其他注射剂分开存放，不得混合存放或混装。试剂打开30min未用完应当废弃。皮肤试验过程中产生的医疗废物按照《医疗废物管理条例》分类进行处理。</w:t>
      </w:r>
    </w:p>
    <w:p w14:paraId="01528788">
      <w:pPr>
        <w:pStyle w:val="59"/>
        <w:spacing w:before="156" w:beforeLines="50" w:after="156" w:afterLines="50"/>
        <w:ind w:firstLine="420"/>
      </w:pPr>
      <w:r>
        <w:t>7</w:t>
      </w:r>
      <w:r>
        <w:rPr>
          <w:rFonts w:hint="eastAsia"/>
        </w:rPr>
        <w:t>.4 注射和结果测量时的工作环境</w:t>
      </w:r>
    </w:p>
    <w:p w14:paraId="56262AF8">
      <w:pPr>
        <w:pStyle w:val="59"/>
        <w:ind w:firstLine="420"/>
      </w:pPr>
      <w:r>
        <w:rPr>
          <w:rFonts w:hint="eastAsia"/>
        </w:rPr>
        <w:t>注射应在室内光线充足的环境下进行，确保注射剂量准确、注射深度符合要求，避免在日光直接照射的地方进行操作。结果测量时也需要在光线充足的环境下进行。</w:t>
      </w:r>
    </w:p>
    <w:p w14:paraId="57BD17A3">
      <w:pPr>
        <w:pStyle w:val="59"/>
        <w:spacing w:before="156" w:beforeLines="50" w:after="156" w:afterLines="50"/>
        <w:ind w:firstLine="420"/>
      </w:pPr>
      <w:r>
        <w:t>7</w:t>
      </w:r>
      <w:r>
        <w:rPr>
          <w:rFonts w:hint="eastAsia"/>
        </w:rPr>
        <w:t>.5 返回查验结果</w:t>
      </w:r>
    </w:p>
    <w:p w14:paraId="1C5C6831">
      <w:pPr>
        <w:pStyle w:val="59"/>
        <w:spacing w:before="156" w:beforeLines="50" w:after="156" w:afterLines="50"/>
        <w:ind w:firstLine="420"/>
        <w:rPr>
          <w:highlight w:val="none"/>
        </w:rPr>
      </w:pPr>
      <w:r>
        <w:rPr>
          <w:highlight w:val="none"/>
        </w:rPr>
        <w:t xml:space="preserve">7.5.1 </w:t>
      </w:r>
      <w:r>
        <w:rPr>
          <w:rFonts w:hint="eastAsia"/>
        </w:rPr>
        <w:t>明确告知受试者查验结果的时间和地点；</w:t>
      </w:r>
    </w:p>
    <w:p w14:paraId="4D87A79E">
      <w:pPr>
        <w:pStyle w:val="59"/>
        <w:spacing w:before="156" w:beforeLines="50" w:after="156" w:afterLines="50"/>
        <w:ind w:firstLine="420"/>
      </w:pPr>
      <w:r>
        <w:rPr>
          <w:highlight w:val="none"/>
        </w:rPr>
        <w:t xml:space="preserve">7.5.2 </w:t>
      </w:r>
      <w:r>
        <w:rPr>
          <w:rFonts w:hint="eastAsia"/>
          <w:highlight w:val="none"/>
        </w:rPr>
        <w:t>若受试者在规定时间内未查验结果，电话通知</w:t>
      </w:r>
      <w:r>
        <w:rPr>
          <w:rFonts w:hint="eastAsia"/>
        </w:rPr>
        <w:t>。</w:t>
      </w:r>
    </w:p>
    <w:p w14:paraId="18903DCB">
      <w:pPr>
        <w:pStyle w:val="107"/>
        <w:spacing w:before="312" w:after="312"/>
      </w:pPr>
      <w:r>
        <w:rPr>
          <w:rFonts w:hint="eastAsia"/>
        </w:rPr>
        <w:t>常见的不良反应及处置</w:t>
      </w:r>
    </w:p>
    <w:p w14:paraId="31554704">
      <w:pPr>
        <w:pStyle w:val="59"/>
        <w:spacing w:before="156" w:beforeLines="50" w:after="156" w:afterLines="50"/>
        <w:ind w:firstLine="420"/>
      </w:pPr>
      <w:r>
        <w:rPr>
          <w:rFonts w:hint="eastAsia"/>
        </w:rPr>
        <w:t>8.1 皮肤试验后的一般反应：如局部红肿、硬结，不需要处理，几天后可自行消退。</w:t>
      </w:r>
    </w:p>
    <w:p w14:paraId="484E69F9">
      <w:pPr>
        <w:pStyle w:val="59"/>
        <w:spacing w:before="156" w:beforeLines="50" w:after="156" w:afterLines="50"/>
        <w:ind w:firstLine="420"/>
      </w:pPr>
      <w:r>
        <w:rPr>
          <w:rFonts w:hint="eastAsia"/>
        </w:rPr>
        <w:t>8.2 注射部位瘙痒：发生注射部位瘙痒者，可进行对症处理，预防感染，告诫受检者勿抓、扰，或用0.5%碘伏棉签擦拭。</w:t>
      </w:r>
    </w:p>
    <w:p w14:paraId="193FC13B">
      <w:pPr>
        <w:pStyle w:val="59"/>
        <w:spacing w:before="156" w:beforeLines="50" w:after="156" w:afterLines="50"/>
        <w:ind w:firstLine="420"/>
      </w:pPr>
      <w:r>
        <w:rPr>
          <w:rFonts w:hint="eastAsia"/>
        </w:rPr>
        <w:t>8.3 注射部位疼痛：一般不必特殊处理，随诊观察，一周内多可自行消退。</w:t>
      </w:r>
    </w:p>
    <w:p w14:paraId="37CC2E80">
      <w:pPr>
        <w:pStyle w:val="59"/>
        <w:spacing w:before="156" w:beforeLines="50" w:after="156" w:afterLines="50"/>
        <w:ind w:firstLine="420"/>
      </w:pPr>
      <w:r>
        <w:rPr>
          <w:rFonts w:hint="eastAsia"/>
        </w:rPr>
        <w:t>8.4 水泡：小水泡时保持局部清洁、干燥，避免抓挠；注射部位出现大水泡，用消毒过的空针将水泡内液体抽出，保持局部清洁，用消毒纱布包扎，以免污染。</w:t>
      </w:r>
    </w:p>
    <w:p w14:paraId="1E441886">
      <w:pPr>
        <w:pStyle w:val="59"/>
        <w:spacing w:before="156" w:beforeLines="50" w:after="156" w:afterLines="50"/>
        <w:ind w:firstLine="420"/>
      </w:pPr>
      <w:r>
        <w:rPr>
          <w:rFonts w:hint="eastAsia"/>
        </w:rPr>
        <w:t>8.5 溃疡或坏死：保持局部清洁，涂搽外用地塞米松（0.05%）或肤轻松软膏（0.025%），并覆盖无菌纱布，以防感染。</w:t>
      </w:r>
    </w:p>
    <w:p w14:paraId="37DA2B40">
      <w:pPr>
        <w:pStyle w:val="59"/>
        <w:spacing w:before="156" w:beforeLines="50" w:after="156" w:afterLines="50"/>
        <w:ind w:firstLine="420"/>
        <w:rPr>
          <w:rFonts w:hint="eastAsia"/>
        </w:rPr>
      </w:pPr>
      <w:r>
        <w:rPr>
          <w:rFonts w:hint="eastAsia"/>
        </w:rPr>
        <w:t>8.6 淋巴管炎：可采取热敷，缓解症状。</w:t>
      </w:r>
    </w:p>
    <w:p w14:paraId="114B5FA3">
      <w:r>
        <w:rPr>
          <w:rFonts w:hint="eastAsia"/>
        </w:rPr>
        <w:br w:type="page"/>
      </w:r>
    </w:p>
    <w:p w14:paraId="13A0B29B">
      <w:pPr>
        <w:pStyle w:val="59"/>
        <w:ind w:firstLine="420"/>
      </w:pPr>
      <w:r>
        <w:rPr>
          <w:rFonts w:hint="eastAsia"/>
        </w:rPr>
        <w:t>附录</w:t>
      </w:r>
      <w:r>
        <w:t>A:</w:t>
      </w:r>
    </w:p>
    <w:p w14:paraId="269A1017">
      <w:pPr>
        <w:pStyle w:val="59"/>
        <w:ind w:firstLine="420"/>
        <w:jc w:val="center"/>
      </w:pPr>
    </w:p>
    <w:p w14:paraId="7F680E67">
      <w:pPr>
        <w:pStyle w:val="59"/>
        <w:ind w:firstLine="420"/>
        <w:jc w:val="center"/>
      </w:pPr>
      <w:r>
        <w:drawing>
          <wp:inline distT="0" distB="0" distL="0" distR="0">
            <wp:extent cx="5939790" cy="4354830"/>
            <wp:effectExtent l="0" t="0" r="3810" b="7620"/>
            <wp:docPr id="184045795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457957" name="图片 1"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9790" cy="4354830"/>
                    </a:xfrm>
                    <a:prstGeom prst="rect">
                      <a:avLst/>
                    </a:prstGeom>
                    <a:noFill/>
                    <a:ln>
                      <a:noFill/>
                    </a:ln>
                  </pic:spPr>
                </pic:pic>
              </a:graphicData>
            </a:graphic>
          </wp:inline>
        </w:drawing>
      </w:r>
    </w:p>
    <w:p w14:paraId="55FD93A2">
      <w:pPr>
        <w:pStyle w:val="59"/>
        <w:ind w:firstLine="420"/>
      </w:pPr>
    </w:p>
    <w:p w14:paraId="17CD5A30">
      <w:pPr>
        <w:pStyle w:val="59"/>
        <w:ind w:firstLine="420"/>
        <w:jc w:val="center"/>
      </w:pPr>
      <w:r>
        <w:rPr>
          <w:rFonts w:hint="eastAsia" w:ascii="Calibri" w:hAnsi="Calibri"/>
          <w:kern w:val="2"/>
          <w:szCs w:val="21"/>
        </w:rPr>
        <w:t>结核分枝杆菌重组蛋白皮肤试验操作流程图</w:t>
      </w:r>
    </w:p>
    <w:p w14:paraId="5FB99972">
      <w:pPr>
        <w:widowControl/>
        <w:adjustRightInd/>
        <w:spacing w:line="240" w:lineRule="auto"/>
        <w:jc w:val="left"/>
      </w:pPr>
      <w:r>
        <w:rPr>
          <w:rFonts w:hint="eastAsia"/>
        </w:rPr>
        <w:t>*与病原学阳性肺结核患者密切接触的艾滋病毒感染者及艾滋病患者等，若排除活动性结核建议进行预防性治疗。</w:t>
      </w:r>
    </w:p>
    <w:p w14:paraId="0AD8F3DB">
      <w:pPr>
        <w:widowControl/>
        <w:adjustRightInd/>
        <w:spacing w:line="240" w:lineRule="auto"/>
        <w:jc w:val="left"/>
      </w:pPr>
      <w:r>
        <w:br w:type="page"/>
      </w:r>
      <w:bookmarkStart w:id="40" w:name="_GoBack"/>
      <w:bookmarkEnd w:id="40"/>
    </w:p>
    <w:p w14:paraId="5F9EF302">
      <w:pPr>
        <w:pStyle w:val="59"/>
        <w:ind w:firstLine="420"/>
      </w:pPr>
      <w:r>
        <w:rPr>
          <w:rFonts w:hint="eastAsia"/>
        </w:rPr>
        <w:t>附录</w:t>
      </w:r>
      <w:r>
        <w:t>B</w:t>
      </w:r>
      <w:r>
        <w:rPr>
          <w:rFonts w:hint="eastAsia"/>
        </w:rPr>
        <w:t>（资料性附录）：</w:t>
      </w:r>
    </w:p>
    <w:p w14:paraId="6FDD798D">
      <w:pPr>
        <w:pStyle w:val="59"/>
        <w:ind w:firstLine="420"/>
        <w:jc w:val="center"/>
      </w:pPr>
      <w:r>
        <w:rPr>
          <w:rFonts w:hint="eastAsia"/>
        </w:rPr>
        <w:t>结核分枝杆菌重组蛋白皮肤试验登记信息一览表</w:t>
      </w:r>
    </w:p>
    <w:p w14:paraId="1E8D10A8">
      <w:pPr>
        <w:pStyle w:val="59"/>
        <w:ind w:firstLine="420"/>
        <w:jc w:val="center"/>
      </w:pP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2742"/>
        <w:gridCol w:w="2034"/>
        <w:gridCol w:w="1283"/>
        <w:gridCol w:w="1415"/>
        <w:gridCol w:w="1271"/>
      </w:tblGrid>
      <w:tr w14:paraId="19E1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restart"/>
            <w:vAlign w:val="center"/>
          </w:tcPr>
          <w:p w14:paraId="24C4CF61">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受检者信息</w:t>
            </w:r>
          </w:p>
        </w:tc>
        <w:tc>
          <w:tcPr>
            <w:tcW w:w="2742" w:type="dxa"/>
            <w:vAlign w:val="center"/>
          </w:tcPr>
          <w:p w14:paraId="2D54879E">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姓名</w:t>
            </w:r>
          </w:p>
        </w:tc>
        <w:tc>
          <w:tcPr>
            <w:tcW w:w="6003" w:type="dxa"/>
            <w:gridSpan w:val="4"/>
            <w:vAlign w:val="center"/>
          </w:tcPr>
          <w:p w14:paraId="166A5445">
            <w:pPr>
              <w:pStyle w:val="59"/>
              <w:ind w:firstLine="0" w:firstLineChars="0"/>
              <w:rPr>
                <w:rFonts w:ascii="华文宋体" w:hAnsi="华文宋体" w:eastAsia="华文宋体" w:cs="华文宋体"/>
                <w:szCs w:val="21"/>
              </w:rPr>
            </w:pPr>
          </w:p>
        </w:tc>
      </w:tr>
      <w:tr w14:paraId="70CA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740752DB">
            <w:pPr>
              <w:pStyle w:val="59"/>
              <w:ind w:firstLine="420"/>
              <w:rPr>
                <w:rFonts w:ascii="华文宋体" w:hAnsi="华文宋体" w:eastAsia="华文宋体" w:cs="华文宋体"/>
                <w:szCs w:val="21"/>
              </w:rPr>
            </w:pPr>
          </w:p>
        </w:tc>
        <w:tc>
          <w:tcPr>
            <w:tcW w:w="2742" w:type="dxa"/>
            <w:vAlign w:val="center"/>
          </w:tcPr>
          <w:p w14:paraId="580282CF">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性别</w:t>
            </w:r>
          </w:p>
        </w:tc>
        <w:tc>
          <w:tcPr>
            <w:tcW w:w="6003" w:type="dxa"/>
            <w:gridSpan w:val="4"/>
            <w:vAlign w:val="center"/>
          </w:tcPr>
          <w:p w14:paraId="44D02053">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 男    □女</w:t>
            </w:r>
          </w:p>
        </w:tc>
      </w:tr>
      <w:tr w14:paraId="1E9F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2FEC1ED2">
            <w:pPr>
              <w:pStyle w:val="59"/>
              <w:ind w:firstLine="420"/>
              <w:rPr>
                <w:rFonts w:ascii="华文宋体" w:hAnsi="华文宋体" w:eastAsia="华文宋体" w:cs="华文宋体"/>
                <w:szCs w:val="21"/>
              </w:rPr>
            </w:pPr>
          </w:p>
        </w:tc>
        <w:tc>
          <w:tcPr>
            <w:tcW w:w="2742" w:type="dxa"/>
            <w:vAlign w:val="center"/>
          </w:tcPr>
          <w:p w14:paraId="1067283F">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身份证号码</w:t>
            </w:r>
          </w:p>
        </w:tc>
        <w:tc>
          <w:tcPr>
            <w:tcW w:w="6003" w:type="dxa"/>
            <w:gridSpan w:val="4"/>
            <w:vAlign w:val="center"/>
          </w:tcPr>
          <w:p w14:paraId="26BFDCE3">
            <w:pPr>
              <w:pStyle w:val="59"/>
              <w:ind w:firstLine="0" w:firstLineChars="0"/>
              <w:rPr>
                <w:rFonts w:ascii="华文宋体" w:hAnsi="华文宋体" w:eastAsia="华文宋体" w:cs="华文宋体"/>
                <w:szCs w:val="21"/>
                <w:u w:val="single"/>
              </w:rPr>
            </w:pPr>
          </w:p>
        </w:tc>
      </w:tr>
      <w:tr w14:paraId="2B78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600BB142">
            <w:pPr>
              <w:pStyle w:val="59"/>
              <w:ind w:firstLine="420"/>
              <w:rPr>
                <w:rFonts w:ascii="华文宋体" w:hAnsi="华文宋体" w:eastAsia="华文宋体" w:cs="华文宋体"/>
                <w:szCs w:val="21"/>
              </w:rPr>
            </w:pPr>
          </w:p>
        </w:tc>
        <w:tc>
          <w:tcPr>
            <w:tcW w:w="2742" w:type="dxa"/>
            <w:vAlign w:val="center"/>
          </w:tcPr>
          <w:p w14:paraId="3B9C0E6A">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联系电话</w:t>
            </w:r>
          </w:p>
        </w:tc>
        <w:tc>
          <w:tcPr>
            <w:tcW w:w="6003" w:type="dxa"/>
            <w:gridSpan w:val="4"/>
            <w:vAlign w:val="center"/>
          </w:tcPr>
          <w:p w14:paraId="767D3C78">
            <w:pPr>
              <w:pStyle w:val="59"/>
              <w:ind w:firstLine="0" w:firstLineChars="0"/>
              <w:rPr>
                <w:rFonts w:ascii="华文宋体" w:hAnsi="华文宋体" w:eastAsia="华文宋体" w:cs="华文宋体"/>
                <w:szCs w:val="21"/>
              </w:rPr>
            </w:pPr>
          </w:p>
        </w:tc>
      </w:tr>
      <w:tr w14:paraId="089F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599" w:type="dxa"/>
            <w:vMerge w:val="continue"/>
            <w:vAlign w:val="center"/>
          </w:tcPr>
          <w:p w14:paraId="3D3EC37E">
            <w:pPr>
              <w:pStyle w:val="59"/>
              <w:ind w:firstLine="420"/>
              <w:rPr>
                <w:rFonts w:ascii="华文宋体" w:hAnsi="华文宋体" w:eastAsia="华文宋体" w:cs="华文宋体"/>
                <w:szCs w:val="21"/>
              </w:rPr>
            </w:pPr>
          </w:p>
        </w:tc>
        <w:tc>
          <w:tcPr>
            <w:tcW w:w="2742" w:type="dxa"/>
            <w:vAlign w:val="center"/>
          </w:tcPr>
          <w:p w14:paraId="2BDE7BE9">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是否有药物过敏史者或严重过敏反应者？</w:t>
            </w:r>
          </w:p>
        </w:tc>
        <w:tc>
          <w:tcPr>
            <w:tcW w:w="6003" w:type="dxa"/>
            <w:gridSpan w:val="4"/>
            <w:vAlign w:val="center"/>
          </w:tcPr>
          <w:p w14:paraId="5C60DEA8">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65B0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6024D33A">
            <w:pPr>
              <w:pStyle w:val="59"/>
              <w:ind w:firstLine="420"/>
              <w:rPr>
                <w:rFonts w:ascii="华文宋体" w:hAnsi="华文宋体" w:eastAsia="华文宋体" w:cs="华文宋体"/>
                <w:szCs w:val="21"/>
              </w:rPr>
            </w:pPr>
          </w:p>
        </w:tc>
        <w:tc>
          <w:tcPr>
            <w:tcW w:w="2742" w:type="dxa"/>
            <w:vAlign w:val="center"/>
          </w:tcPr>
          <w:p w14:paraId="7FC84310">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是否有惊厥、癫痫或癔症史者？</w:t>
            </w:r>
          </w:p>
        </w:tc>
        <w:tc>
          <w:tcPr>
            <w:tcW w:w="6003" w:type="dxa"/>
            <w:gridSpan w:val="4"/>
            <w:vAlign w:val="center"/>
          </w:tcPr>
          <w:p w14:paraId="5D2237B1">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092A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3E65DB75">
            <w:pPr>
              <w:pStyle w:val="59"/>
              <w:ind w:firstLine="420"/>
              <w:rPr>
                <w:rFonts w:ascii="华文宋体" w:hAnsi="华文宋体" w:eastAsia="华文宋体" w:cs="华文宋体"/>
                <w:szCs w:val="21"/>
              </w:rPr>
            </w:pPr>
          </w:p>
        </w:tc>
        <w:tc>
          <w:tcPr>
            <w:tcW w:w="2742" w:type="dxa"/>
            <w:vAlign w:val="center"/>
          </w:tcPr>
          <w:p w14:paraId="64A0DE4F">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是否患急性传染病、急性眼结膜炎、急性中耳炎？</w:t>
            </w:r>
          </w:p>
        </w:tc>
        <w:tc>
          <w:tcPr>
            <w:tcW w:w="6003" w:type="dxa"/>
            <w:gridSpan w:val="4"/>
            <w:vAlign w:val="center"/>
          </w:tcPr>
          <w:p w14:paraId="294282B3">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27C3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4FAF1ED1">
            <w:pPr>
              <w:pStyle w:val="59"/>
              <w:ind w:firstLine="420"/>
              <w:rPr>
                <w:rFonts w:ascii="华文宋体" w:hAnsi="华文宋体" w:eastAsia="华文宋体" w:cs="华文宋体"/>
                <w:szCs w:val="21"/>
              </w:rPr>
            </w:pPr>
          </w:p>
        </w:tc>
        <w:tc>
          <w:tcPr>
            <w:tcW w:w="2742" w:type="dxa"/>
            <w:vAlign w:val="center"/>
          </w:tcPr>
          <w:p w14:paraId="0C3E0FD2">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是否患全身性皮肤病，或在检测位置（前臂掌侧中部）出现大面积烧伤、湿疹等皮肤反应及皮肤破损？</w:t>
            </w:r>
          </w:p>
        </w:tc>
        <w:tc>
          <w:tcPr>
            <w:tcW w:w="6003" w:type="dxa"/>
            <w:gridSpan w:val="4"/>
            <w:vAlign w:val="center"/>
          </w:tcPr>
          <w:p w14:paraId="5C2D5EFF">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370A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10108F29">
            <w:pPr>
              <w:pStyle w:val="59"/>
              <w:ind w:firstLine="420"/>
              <w:rPr>
                <w:rFonts w:ascii="华文宋体" w:hAnsi="华文宋体" w:eastAsia="华文宋体" w:cs="华文宋体"/>
                <w:szCs w:val="21"/>
              </w:rPr>
            </w:pPr>
          </w:p>
        </w:tc>
        <w:tc>
          <w:tcPr>
            <w:tcW w:w="2742" w:type="dxa"/>
            <w:vAlign w:val="center"/>
          </w:tcPr>
          <w:p w14:paraId="6650CC1E">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是否患癌症或其他免疫系统疾病？</w:t>
            </w:r>
          </w:p>
        </w:tc>
        <w:tc>
          <w:tcPr>
            <w:tcW w:w="6003" w:type="dxa"/>
            <w:gridSpan w:val="4"/>
            <w:vAlign w:val="center"/>
          </w:tcPr>
          <w:p w14:paraId="547B65B9">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5C27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45BE8545">
            <w:pPr>
              <w:pStyle w:val="59"/>
              <w:ind w:firstLine="420"/>
              <w:rPr>
                <w:rFonts w:ascii="华文宋体" w:hAnsi="华文宋体" w:eastAsia="华文宋体" w:cs="华文宋体"/>
                <w:szCs w:val="21"/>
              </w:rPr>
            </w:pPr>
          </w:p>
        </w:tc>
        <w:tc>
          <w:tcPr>
            <w:tcW w:w="2742" w:type="dxa"/>
            <w:vAlign w:val="center"/>
          </w:tcPr>
          <w:p w14:paraId="390B70D3">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是否HIV/AIDS</w:t>
            </w:r>
          </w:p>
        </w:tc>
        <w:tc>
          <w:tcPr>
            <w:tcW w:w="6003" w:type="dxa"/>
            <w:gridSpan w:val="4"/>
            <w:vAlign w:val="center"/>
          </w:tcPr>
          <w:p w14:paraId="27A36680">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7A1E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28EB8E7C">
            <w:pPr>
              <w:pStyle w:val="59"/>
              <w:ind w:firstLine="420"/>
              <w:rPr>
                <w:rFonts w:ascii="华文宋体" w:hAnsi="华文宋体" w:eastAsia="华文宋体" w:cs="华文宋体"/>
                <w:szCs w:val="21"/>
              </w:rPr>
            </w:pPr>
          </w:p>
        </w:tc>
        <w:tc>
          <w:tcPr>
            <w:tcW w:w="2742" w:type="dxa"/>
            <w:vAlign w:val="center"/>
          </w:tcPr>
          <w:p w14:paraId="6FC5F9F2">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过去3个月，是否使用过可的松、强的松、其他类固醇类或抗肿瘤药物，或进行过放射性治疗</w:t>
            </w:r>
          </w:p>
        </w:tc>
        <w:tc>
          <w:tcPr>
            <w:tcW w:w="6003" w:type="dxa"/>
            <w:gridSpan w:val="4"/>
            <w:vAlign w:val="center"/>
          </w:tcPr>
          <w:p w14:paraId="3894E60F">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□是     □否</w:t>
            </w:r>
          </w:p>
        </w:tc>
      </w:tr>
      <w:tr w14:paraId="12C8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026FEE6F">
            <w:pPr>
              <w:pStyle w:val="59"/>
              <w:ind w:firstLine="420"/>
              <w:rPr>
                <w:rFonts w:ascii="华文宋体" w:hAnsi="华文宋体" w:eastAsia="华文宋体" w:cs="华文宋体"/>
                <w:szCs w:val="21"/>
              </w:rPr>
            </w:pPr>
          </w:p>
        </w:tc>
        <w:tc>
          <w:tcPr>
            <w:tcW w:w="2742" w:type="dxa"/>
            <w:vAlign w:val="center"/>
          </w:tcPr>
          <w:p w14:paraId="1B1ACD4D">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结核病史</w:t>
            </w:r>
          </w:p>
        </w:tc>
        <w:tc>
          <w:tcPr>
            <w:tcW w:w="6003" w:type="dxa"/>
            <w:gridSpan w:val="4"/>
            <w:vAlign w:val="center"/>
          </w:tcPr>
          <w:p w14:paraId="111C6E62">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6509C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5" w:hRule="atLeast"/>
        </w:trPr>
        <w:tc>
          <w:tcPr>
            <w:tcW w:w="599" w:type="dxa"/>
            <w:vMerge w:val="continue"/>
            <w:vAlign w:val="center"/>
          </w:tcPr>
          <w:p w14:paraId="284B1AF5">
            <w:pPr>
              <w:pStyle w:val="59"/>
              <w:ind w:firstLine="420"/>
              <w:rPr>
                <w:rFonts w:ascii="华文宋体" w:hAnsi="华文宋体" w:eastAsia="华文宋体" w:cs="华文宋体"/>
                <w:szCs w:val="21"/>
              </w:rPr>
            </w:pPr>
          </w:p>
        </w:tc>
        <w:tc>
          <w:tcPr>
            <w:tcW w:w="2742" w:type="dxa"/>
            <w:vAlign w:val="center"/>
          </w:tcPr>
          <w:p w14:paraId="6455FBDF">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卡介苗接种史</w:t>
            </w:r>
          </w:p>
        </w:tc>
        <w:tc>
          <w:tcPr>
            <w:tcW w:w="6003" w:type="dxa"/>
            <w:gridSpan w:val="4"/>
            <w:vAlign w:val="center"/>
          </w:tcPr>
          <w:p w14:paraId="41D56C92">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3E37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4362E6F6">
            <w:pPr>
              <w:pStyle w:val="59"/>
              <w:ind w:firstLine="420"/>
              <w:rPr>
                <w:rFonts w:ascii="华文宋体" w:hAnsi="华文宋体" w:eastAsia="华文宋体" w:cs="华文宋体"/>
                <w:szCs w:val="21"/>
              </w:rPr>
            </w:pPr>
          </w:p>
        </w:tc>
        <w:tc>
          <w:tcPr>
            <w:tcW w:w="2742" w:type="dxa"/>
            <w:vAlign w:val="center"/>
          </w:tcPr>
          <w:p w14:paraId="44434BBA">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过去3个月肺结核患者密切接触史</w:t>
            </w:r>
          </w:p>
        </w:tc>
        <w:tc>
          <w:tcPr>
            <w:tcW w:w="6003" w:type="dxa"/>
            <w:gridSpan w:val="4"/>
            <w:vAlign w:val="center"/>
          </w:tcPr>
          <w:p w14:paraId="43E2AA69">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0336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5F2D3F46">
            <w:pPr>
              <w:pStyle w:val="59"/>
              <w:ind w:firstLine="420"/>
              <w:rPr>
                <w:rFonts w:ascii="华文宋体" w:hAnsi="华文宋体" w:eastAsia="华文宋体" w:cs="华文宋体"/>
                <w:szCs w:val="21"/>
              </w:rPr>
            </w:pPr>
          </w:p>
        </w:tc>
        <w:tc>
          <w:tcPr>
            <w:tcW w:w="2742" w:type="dxa"/>
            <w:vAlign w:val="center"/>
          </w:tcPr>
          <w:p w14:paraId="65E15311">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肺结核可疑症状</w:t>
            </w:r>
            <w:r>
              <w:rPr>
                <w:rFonts w:hint="eastAsia" w:ascii="华文宋体" w:hAnsi="华文宋体" w:eastAsia="华文宋体" w:cs="华文宋体"/>
                <w:szCs w:val="21"/>
                <w:vertAlign w:val="superscript"/>
              </w:rPr>
              <w:t>*</w:t>
            </w:r>
          </w:p>
        </w:tc>
        <w:tc>
          <w:tcPr>
            <w:tcW w:w="6003" w:type="dxa"/>
            <w:gridSpan w:val="4"/>
            <w:vAlign w:val="center"/>
          </w:tcPr>
          <w:p w14:paraId="59EACBF5">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0749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restart"/>
            <w:vAlign w:val="center"/>
          </w:tcPr>
          <w:p w14:paraId="4FA3FA10">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注射信息</w:t>
            </w:r>
          </w:p>
        </w:tc>
        <w:tc>
          <w:tcPr>
            <w:tcW w:w="2742" w:type="dxa"/>
            <w:vAlign w:val="center"/>
          </w:tcPr>
          <w:p w14:paraId="60BD1B2B">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药品批号</w:t>
            </w:r>
          </w:p>
        </w:tc>
        <w:tc>
          <w:tcPr>
            <w:tcW w:w="3317" w:type="dxa"/>
            <w:gridSpan w:val="2"/>
            <w:vAlign w:val="center"/>
          </w:tcPr>
          <w:p w14:paraId="51C82BEB">
            <w:pPr>
              <w:pStyle w:val="59"/>
              <w:ind w:firstLine="0" w:firstLineChars="0"/>
              <w:rPr>
                <w:rFonts w:ascii="华文宋体" w:hAnsi="华文宋体" w:eastAsia="华文宋体" w:cs="华文宋体"/>
                <w:szCs w:val="21"/>
              </w:rPr>
            </w:pPr>
          </w:p>
        </w:tc>
        <w:tc>
          <w:tcPr>
            <w:tcW w:w="2686" w:type="dxa"/>
            <w:gridSpan w:val="2"/>
          </w:tcPr>
          <w:p w14:paraId="21D76784">
            <w:pPr>
              <w:pStyle w:val="59"/>
              <w:ind w:firstLine="0" w:firstLineChars="0"/>
              <w:rPr>
                <w:rFonts w:ascii="华文宋体" w:hAnsi="华文宋体" w:eastAsia="华文宋体" w:cs="华文宋体"/>
                <w:szCs w:val="21"/>
              </w:rPr>
            </w:pPr>
          </w:p>
        </w:tc>
      </w:tr>
      <w:tr w14:paraId="5E52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319AD20C">
            <w:pPr>
              <w:pStyle w:val="59"/>
              <w:ind w:firstLine="420"/>
              <w:rPr>
                <w:rFonts w:ascii="华文宋体" w:hAnsi="华文宋体" w:eastAsia="华文宋体" w:cs="华文宋体"/>
                <w:szCs w:val="21"/>
              </w:rPr>
            </w:pPr>
          </w:p>
        </w:tc>
        <w:tc>
          <w:tcPr>
            <w:tcW w:w="2742" w:type="dxa"/>
            <w:vAlign w:val="center"/>
          </w:tcPr>
          <w:p w14:paraId="1B78EF27">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药品有效期</w:t>
            </w:r>
          </w:p>
        </w:tc>
        <w:tc>
          <w:tcPr>
            <w:tcW w:w="3317" w:type="dxa"/>
            <w:gridSpan w:val="2"/>
            <w:vAlign w:val="center"/>
          </w:tcPr>
          <w:p w14:paraId="097B6803">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p>
        </w:tc>
        <w:tc>
          <w:tcPr>
            <w:tcW w:w="2686" w:type="dxa"/>
            <w:gridSpan w:val="2"/>
            <w:vAlign w:val="center"/>
          </w:tcPr>
          <w:p w14:paraId="4883D46F">
            <w:pPr>
              <w:pStyle w:val="59"/>
              <w:ind w:firstLine="0" w:firstLineChars="0"/>
              <w:rPr>
                <w:rFonts w:ascii="华文宋体" w:hAnsi="华文宋体" w:eastAsia="华文宋体" w:cs="华文宋体"/>
                <w:szCs w:val="21"/>
                <w:u w:val="single"/>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p>
        </w:tc>
      </w:tr>
      <w:tr w14:paraId="5128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0B0E61C3">
            <w:pPr>
              <w:pStyle w:val="59"/>
              <w:ind w:firstLine="420"/>
              <w:rPr>
                <w:rFonts w:ascii="华文宋体" w:hAnsi="华文宋体" w:eastAsia="华文宋体" w:cs="华文宋体"/>
                <w:szCs w:val="21"/>
              </w:rPr>
            </w:pPr>
          </w:p>
        </w:tc>
        <w:tc>
          <w:tcPr>
            <w:tcW w:w="2742" w:type="dxa"/>
            <w:vAlign w:val="center"/>
          </w:tcPr>
          <w:p w14:paraId="41C9262B">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注射日期</w:t>
            </w:r>
          </w:p>
        </w:tc>
        <w:tc>
          <w:tcPr>
            <w:tcW w:w="3317" w:type="dxa"/>
            <w:gridSpan w:val="2"/>
            <w:vAlign w:val="center"/>
          </w:tcPr>
          <w:p w14:paraId="5CCA1F87">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时</w:t>
            </w:r>
          </w:p>
        </w:tc>
        <w:tc>
          <w:tcPr>
            <w:tcW w:w="2686" w:type="dxa"/>
            <w:gridSpan w:val="2"/>
            <w:vAlign w:val="center"/>
          </w:tcPr>
          <w:p w14:paraId="214504C0">
            <w:pPr>
              <w:pStyle w:val="59"/>
              <w:ind w:firstLine="0" w:firstLineChars="0"/>
              <w:rPr>
                <w:rFonts w:ascii="华文宋体" w:hAnsi="华文宋体" w:eastAsia="华文宋体" w:cs="华文宋体"/>
                <w:szCs w:val="21"/>
                <w:u w:val="single"/>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时</w:t>
            </w:r>
          </w:p>
        </w:tc>
      </w:tr>
      <w:tr w14:paraId="5BB7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16A029AB">
            <w:pPr>
              <w:pStyle w:val="59"/>
              <w:ind w:firstLine="420"/>
              <w:rPr>
                <w:rFonts w:ascii="华文宋体" w:hAnsi="华文宋体" w:eastAsia="华文宋体" w:cs="华文宋体"/>
                <w:szCs w:val="21"/>
              </w:rPr>
            </w:pPr>
          </w:p>
        </w:tc>
        <w:tc>
          <w:tcPr>
            <w:tcW w:w="2742" w:type="dxa"/>
            <w:vAlign w:val="center"/>
          </w:tcPr>
          <w:p w14:paraId="196B4B55">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注射操作者签名</w:t>
            </w:r>
          </w:p>
        </w:tc>
        <w:tc>
          <w:tcPr>
            <w:tcW w:w="3317" w:type="dxa"/>
            <w:gridSpan w:val="2"/>
            <w:vAlign w:val="center"/>
          </w:tcPr>
          <w:p w14:paraId="4435B6EC">
            <w:pPr>
              <w:pStyle w:val="59"/>
              <w:ind w:firstLine="0" w:firstLineChars="0"/>
              <w:rPr>
                <w:rFonts w:ascii="华文宋体" w:hAnsi="华文宋体" w:eastAsia="华文宋体" w:cs="华文宋体"/>
                <w:szCs w:val="21"/>
              </w:rPr>
            </w:pPr>
          </w:p>
        </w:tc>
        <w:tc>
          <w:tcPr>
            <w:tcW w:w="2686" w:type="dxa"/>
            <w:gridSpan w:val="2"/>
          </w:tcPr>
          <w:p w14:paraId="179AE4D5">
            <w:pPr>
              <w:pStyle w:val="59"/>
              <w:ind w:firstLine="0" w:firstLineChars="0"/>
              <w:rPr>
                <w:rFonts w:ascii="华文宋体" w:hAnsi="华文宋体" w:eastAsia="华文宋体" w:cs="华文宋体"/>
                <w:szCs w:val="21"/>
              </w:rPr>
            </w:pPr>
          </w:p>
        </w:tc>
      </w:tr>
      <w:tr w14:paraId="2101E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599" w:type="dxa"/>
            <w:vMerge w:val="restart"/>
            <w:vAlign w:val="center"/>
          </w:tcPr>
          <w:p w14:paraId="241E3148">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结果测量信息</w:t>
            </w:r>
          </w:p>
        </w:tc>
        <w:tc>
          <w:tcPr>
            <w:tcW w:w="2742" w:type="dxa"/>
            <w:vAlign w:val="center"/>
          </w:tcPr>
          <w:p w14:paraId="355564DC">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硬结直径（</w:t>
            </w:r>
            <w:r>
              <w:rPr>
                <w:rFonts w:hint="eastAsia" w:ascii="华文宋体" w:hAnsi="华文宋体" w:eastAsia="华文宋体" w:cs="华文宋体"/>
                <w:color w:val="000000"/>
                <w:szCs w:val="21"/>
              </w:rPr>
              <w:t>mm</w:t>
            </w:r>
            <w:r>
              <w:rPr>
                <w:rFonts w:hint="eastAsia" w:ascii="华文宋体" w:hAnsi="华文宋体" w:eastAsia="华文宋体" w:cs="华文宋体"/>
                <w:szCs w:val="21"/>
              </w:rPr>
              <w:t>）</w:t>
            </w:r>
          </w:p>
        </w:tc>
        <w:tc>
          <w:tcPr>
            <w:tcW w:w="2034" w:type="dxa"/>
            <w:vAlign w:val="center"/>
          </w:tcPr>
          <w:p w14:paraId="280B0D43">
            <w:pPr>
              <w:pStyle w:val="59"/>
              <w:ind w:firstLine="0" w:firstLineChars="0"/>
              <w:rPr>
                <w:rFonts w:ascii="华文宋体" w:hAnsi="华文宋体" w:eastAsia="华文宋体" w:cs="华文宋体"/>
                <w:szCs w:val="21"/>
                <w:u w:val="single"/>
              </w:rPr>
            </w:pPr>
            <w:r>
              <w:rPr>
                <w:rFonts w:hint="eastAsia" w:ascii="华文宋体" w:hAnsi="华文宋体" w:eastAsia="华文宋体" w:cs="华文宋体"/>
                <w:color w:val="000000"/>
                <w:szCs w:val="21"/>
              </w:rPr>
              <w:t>横径</w:t>
            </w:r>
            <w:r>
              <w:rPr>
                <w:rFonts w:hint="eastAsia" w:ascii="华文宋体" w:hAnsi="华文宋体" w:eastAsia="华文宋体" w:cs="华文宋体"/>
                <w:color w:val="000000"/>
                <w:szCs w:val="21"/>
                <w:u w:val="single"/>
              </w:rPr>
              <w:t xml:space="preserve">     </w:t>
            </w:r>
            <w:r>
              <w:rPr>
                <w:rFonts w:hint="eastAsia" w:ascii="华文宋体" w:hAnsi="华文宋体" w:eastAsia="华文宋体" w:cs="华文宋体"/>
                <w:color w:val="000000"/>
                <w:szCs w:val="21"/>
              </w:rPr>
              <w:t>*纵径</w:t>
            </w:r>
            <w:r>
              <w:rPr>
                <w:rFonts w:hint="eastAsia" w:ascii="华文宋体" w:hAnsi="华文宋体" w:eastAsia="华文宋体" w:cs="华文宋体"/>
                <w:color w:val="000000"/>
                <w:szCs w:val="21"/>
                <w:u w:val="single"/>
              </w:rPr>
              <w:t xml:space="preserve">     </w:t>
            </w:r>
          </w:p>
        </w:tc>
        <w:tc>
          <w:tcPr>
            <w:tcW w:w="1283" w:type="dxa"/>
            <w:vAlign w:val="center"/>
          </w:tcPr>
          <w:p w14:paraId="4B0885CD">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平均直径：</w:t>
            </w:r>
          </w:p>
        </w:tc>
        <w:tc>
          <w:tcPr>
            <w:tcW w:w="1415" w:type="dxa"/>
            <w:vAlign w:val="center"/>
          </w:tcPr>
          <w:p w14:paraId="1C460503">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横径</w:t>
            </w:r>
            <w:r>
              <w:rPr>
                <w:rFonts w:hint="eastAsia" w:ascii="华文宋体" w:hAnsi="华文宋体" w:eastAsia="华文宋体" w:cs="华文宋体"/>
                <w:color w:val="000000"/>
                <w:szCs w:val="21"/>
                <w:u w:val="single"/>
              </w:rPr>
              <w:t xml:space="preserve">     </w:t>
            </w:r>
            <w:r>
              <w:rPr>
                <w:rFonts w:hint="eastAsia" w:ascii="华文宋体" w:hAnsi="华文宋体" w:eastAsia="华文宋体" w:cs="华文宋体"/>
                <w:color w:val="000000"/>
                <w:szCs w:val="21"/>
              </w:rPr>
              <w:t>*纵径</w:t>
            </w:r>
            <w:r>
              <w:rPr>
                <w:rFonts w:hint="eastAsia" w:ascii="华文宋体" w:hAnsi="华文宋体" w:eastAsia="华文宋体" w:cs="华文宋体"/>
                <w:color w:val="000000"/>
                <w:szCs w:val="21"/>
                <w:u w:val="single"/>
              </w:rPr>
              <w:t xml:space="preserve">     </w:t>
            </w:r>
          </w:p>
        </w:tc>
        <w:tc>
          <w:tcPr>
            <w:tcW w:w="1271" w:type="dxa"/>
            <w:vAlign w:val="center"/>
          </w:tcPr>
          <w:p w14:paraId="453B0DD2">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平均直径：</w:t>
            </w:r>
          </w:p>
        </w:tc>
      </w:tr>
      <w:tr w14:paraId="4EFB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6123DE1A">
            <w:pPr>
              <w:pStyle w:val="59"/>
              <w:ind w:firstLine="0" w:firstLineChars="0"/>
              <w:rPr>
                <w:rFonts w:ascii="华文宋体" w:hAnsi="华文宋体" w:eastAsia="华文宋体" w:cs="华文宋体"/>
                <w:szCs w:val="21"/>
              </w:rPr>
            </w:pPr>
          </w:p>
        </w:tc>
        <w:tc>
          <w:tcPr>
            <w:tcW w:w="2742" w:type="dxa"/>
            <w:vAlign w:val="center"/>
          </w:tcPr>
          <w:p w14:paraId="380C7E3C">
            <w:pPr>
              <w:pStyle w:val="59"/>
              <w:ind w:firstLine="0" w:firstLineChars="0"/>
              <w:rPr>
                <w:rFonts w:ascii="华文宋体" w:hAnsi="华文宋体" w:eastAsia="华文宋体" w:cs="华文宋体"/>
                <w:b/>
                <w:bCs/>
                <w:szCs w:val="21"/>
              </w:rPr>
            </w:pPr>
            <w:r>
              <w:rPr>
                <w:rFonts w:hint="eastAsia" w:ascii="华文宋体" w:hAnsi="华文宋体" w:eastAsia="华文宋体" w:cs="华文宋体"/>
                <w:szCs w:val="21"/>
              </w:rPr>
              <w:t>红晕直径（</w:t>
            </w:r>
            <w:r>
              <w:rPr>
                <w:rFonts w:hint="eastAsia" w:ascii="华文宋体" w:hAnsi="华文宋体" w:eastAsia="华文宋体" w:cs="华文宋体"/>
                <w:color w:val="000000"/>
                <w:szCs w:val="21"/>
              </w:rPr>
              <w:t>mm</w:t>
            </w:r>
            <w:r>
              <w:rPr>
                <w:rFonts w:hint="eastAsia" w:ascii="华文宋体" w:hAnsi="华文宋体" w:eastAsia="华文宋体" w:cs="华文宋体"/>
                <w:szCs w:val="21"/>
              </w:rPr>
              <w:t>）</w:t>
            </w:r>
          </w:p>
        </w:tc>
        <w:tc>
          <w:tcPr>
            <w:tcW w:w="2034" w:type="dxa"/>
            <w:vAlign w:val="center"/>
          </w:tcPr>
          <w:p w14:paraId="5253A820">
            <w:pPr>
              <w:pStyle w:val="59"/>
              <w:ind w:firstLine="0" w:firstLineChars="0"/>
              <w:rPr>
                <w:rFonts w:ascii="华文宋体" w:hAnsi="华文宋体" w:eastAsia="华文宋体" w:cs="华文宋体"/>
                <w:szCs w:val="21"/>
              </w:rPr>
            </w:pPr>
            <w:r>
              <w:rPr>
                <w:rFonts w:hint="eastAsia" w:ascii="华文宋体" w:hAnsi="华文宋体" w:eastAsia="华文宋体" w:cs="华文宋体"/>
                <w:color w:val="000000"/>
                <w:szCs w:val="21"/>
              </w:rPr>
              <w:t>横径</w:t>
            </w:r>
            <w:r>
              <w:rPr>
                <w:rFonts w:hint="eastAsia" w:ascii="华文宋体" w:hAnsi="华文宋体" w:eastAsia="华文宋体" w:cs="华文宋体"/>
                <w:color w:val="000000"/>
                <w:szCs w:val="21"/>
                <w:u w:val="single"/>
              </w:rPr>
              <w:t xml:space="preserve">     </w:t>
            </w:r>
            <w:r>
              <w:rPr>
                <w:rFonts w:hint="eastAsia" w:ascii="华文宋体" w:hAnsi="华文宋体" w:eastAsia="华文宋体" w:cs="华文宋体"/>
                <w:color w:val="000000"/>
                <w:szCs w:val="21"/>
              </w:rPr>
              <w:t>*纵径</w:t>
            </w:r>
            <w:r>
              <w:rPr>
                <w:rFonts w:hint="eastAsia" w:ascii="华文宋体" w:hAnsi="华文宋体" w:eastAsia="华文宋体" w:cs="华文宋体"/>
                <w:color w:val="000000"/>
                <w:szCs w:val="21"/>
                <w:u w:val="single"/>
              </w:rPr>
              <w:t xml:space="preserve">     </w:t>
            </w:r>
          </w:p>
        </w:tc>
        <w:tc>
          <w:tcPr>
            <w:tcW w:w="1283" w:type="dxa"/>
            <w:vAlign w:val="center"/>
          </w:tcPr>
          <w:p w14:paraId="6E65B5C7">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平均直径：</w:t>
            </w:r>
          </w:p>
        </w:tc>
        <w:tc>
          <w:tcPr>
            <w:tcW w:w="1415" w:type="dxa"/>
            <w:vAlign w:val="center"/>
          </w:tcPr>
          <w:p w14:paraId="33C6D440">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横径</w:t>
            </w:r>
            <w:r>
              <w:rPr>
                <w:rFonts w:hint="eastAsia" w:ascii="华文宋体" w:hAnsi="华文宋体" w:eastAsia="华文宋体" w:cs="华文宋体"/>
                <w:color w:val="000000"/>
                <w:szCs w:val="21"/>
                <w:u w:val="single"/>
              </w:rPr>
              <w:t xml:space="preserve">     </w:t>
            </w:r>
            <w:r>
              <w:rPr>
                <w:rFonts w:hint="eastAsia" w:ascii="华文宋体" w:hAnsi="华文宋体" w:eastAsia="华文宋体" w:cs="华文宋体"/>
                <w:color w:val="000000"/>
                <w:szCs w:val="21"/>
              </w:rPr>
              <w:t>*纵径</w:t>
            </w:r>
            <w:r>
              <w:rPr>
                <w:rFonts w:hint="eastAsia" w:ascii="华文宋体" w:hAnsi="华文宋体" w:eastAsia="华文宋体" w:cs="华文宋体"/>
                <w:color w:val="000000"/>
                <w:szCs w:val="21"/>
                <w:u w:val="single"/>
              </w:rPr>
              <w:t xml:space="preserve">     </w:t>
            </w:r>
          </w:p>
        </w:tc>
        <w:tc>
          <w:tcPr>
            <w:tcW w:w="1271" w:type="dxa"/>
            <w:vAlign w:val="center"/>
          </w:tcPr>
          <w:p w14:paraId="6DC965A7">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平均直径：</w:t>
            </w:r>
          </w:p>
        </w:tc>
      </w:tr>
      <w:tr w14:paraId="4266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240B843F">
            <w:pPr>
              <w:pStyle w:val="59"/>
              <w:ind w:firstLine="0" w:firstLineChars="0"/>
              <w:rPr>
                <w:rFonts w:ascii="华文宋体" w:hAnsi="华文宋体" w:eastAsia="华文宋体" w:cs="华文宋体"/>
                <w:szCs w:val="21"/>
              </w:rPr>
            </w:pPr>
          </w:p>
        </w:tc>
        <w:tc>
          <w:tcPr>
            <w:tcW w:w="2742" w:type="dxa"/>
            <w:vAlign w:val="center"/>
          </w:tcPr>
          <w:p w14:paraId="68DD3D4D">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水泡</w:t>
            </w:r>
          </w:p>
        </w:tc>
        <w:tc>
          <w:tcPr>
            <w:tcW w:w="3317" w:type="dxa"/>
            <w:gridSpan w:val="2"/>
            <w:vAlign w:val="center"/>
          </w:tcPr>
          <w:p w14:paraId="0A8599B4">
            <w:pPr>
              <w:pStyle w:val="59"/>
              <w:ind w:firstLine="0" w:firstLineChars="0"/>
              <w:rPr>
                <w:rFonts w:ascii="华文宋体" w:hAnsi="华文宋体" w:eastAsia="华文宋体" w:cs="华文宋体"/>
                <w:szCs w:val="21"/>
              </w:rPr>
            </w:pPr>
            <w:r>
              <w:rPr>
                <w:rFonts w:hint="eastAsia" w:ascii="华文宋体" w:hAnsi="华文宋体" w:eastAsia="华文宋体" w:cs="华文宋体"/>
                <w:color w:val="000000"/>
                <w:szCs w:val="21"/>
              </w:rPr>
              <w:t>□有     □无</w:t>
            </w:r>
          </w:p>
        </w:tc>
        <w:tc>
          <w:tcPr>
            <w:tcW w:w="2686" w:type="dxa"/>
            <w:gridSpan w:val="2"/>
            <w:vAlign w:val="center"/>
          </w:tcPr>
          <w:p w14:paraId="4D22F347">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2D8C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4F47E320">
            <w:pPr>
              <w:pStyle w:val="59"/>
              <w:ind w:firstLine="0" w:firstLineChars="0"/>
              <w:rPr>
                <w:rFonts w:ascii="华文宋体" w:hAnsi="华文宋体" w:eastAsia="华文宋体" w:cs="华文宋体"/>
                <w:szCs w:val="21"/>
              </w:rPr>
            </w:pPr>
          </w:p>
        </w:tc>
        <w:tc>
          <w:tcPr>
            <w:tcW w:w="2742" w:type="dxa"/>
            <w:vAlign w:val="center"/>
          </w:tcPr>
          <w:p w14:paraId="13E1193F">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坏死</w:t>
            </w:r>
          </w:p>
        </w:tc>
        <w:tc>
          <w:tcPr>
            <w:tcW w:w="3317" w:type="dxa"/>
            <w:gridSpan w:val="2"/>
            <w:vAlign w:val="center"/>
          </w:tcPr>
          <w:p w14:paraId="3D923877">
            <w:pPr>
              <w:pStyle w:val="59"/>
              <w:ind w:firstLine="0" w:firstLineChars="0"/>
              <w:rPr>
                <w:rFonts w:ascii="华文宋体" w:hAnsi="华文宋体" w:eastAsia="华文宋体" w:cs="华文宋体"/>
                <w:b/>
                <w:bCs/>
                <w:szCs w:val="21"/>
              </w:rPr>
            </w:pPr>
            <w:r>
              <w:rPr>
                <w:rFonts w:hint="eastAsia" w:ascii="华文宋体" w:hAnsi="华文宋体" w:eastAsia="华文宋体" w:cs="华文宋体"/>
                <w:color w:val="000000"/>
                <w:szCs w:val="21"/>
              </w:rPr>
              <w:t>□有     □无</w:t>
            </w:r>
          </w:p>
        </w:tc>
        <w:tc>
          <w:tcPr>
            <w:tcW w:w="2686" w:type="dxa"/>
            <w:gridSpan w:val="2"/>
            <w:vAlign w:val="center"/>
          </w:tcPr>
          <w:p w14:paraId="31E287AD">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7546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14134935">
            <w:pPr>
              <w:pStyle w:val="59"/>
              <w:ind w:firstLine="0" w:firstLineChars="0"/>
              <w:rPr>
                <w:rFonts w:ascii="华文宋体" w:hAnsi="华文宋体" w:eastAsia="华文宋体" w:cs="华文宋体"/>
                <w:szCs w:val="21"/>
              </w:rPr>
            </w:pPr>
          </w:p>
        </w:tc>
        <w:tc>
          <w:tcPr>
            <w:tcW w:w="2742" w:type="dxa"/>
            <w:vAlign w:val="center"/>
          </w:tcPr>
          <w:p w14:paraId="42EC3FFC">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淋巴管炎</w:t>
            </w:r>
          </w:p>
        </w:tc>
        <w:tc>
          <w:tcPr>
            <w:tcW w:w="3317" w:type="dxa"/>
            <w:gridSpan w:val="2"/>
            <w:vAlign w:val="center"/>
          </w:tcPr>
          <w:p w14:paraId="7C5F7631">
            <w:pPr>
              <w:pStyle w:val="59"/>
              <w:ind w:firstLine="0" w:firstLineChars="0"/>
              <w:rPr>
                <w:rFonts w:ascii="华文宋体" w:hAnsi="华文宋体" w:eastAsia="华文宋体" w:cs="华文宋体"/>
                <w:b/>
                <w:bCs/>
                <w:szCs w:val="21"/>
              </w:rPr>
            </w:pPr>
            <w:r>
              <w:rPr>
                <w:rFonts w:hint="eastAsia" w:ascii="华文宋体" w:hAnsi="华文宋体" w:eastAsia="华文宋体" w:cs="华文宋体"/>
                <w:color w:val="000000"/>
                <w:szCs w:val="21"/>
              </w:rPr>
              <w:t>□有     □无</w:t>
            </w:r>
          </w:p>
        </w:tc>
        <w:tc>
          <w:tcPr>
            <w:tcW w:w="2686" w:type="dxa"/>
            <w:gridSpan w:val="2"/>
            <w:vAlign w:val="center"/>
          </w:tcPr>
          <w:p w14:paraId="04609EFA">
            <w:pPr>
              <w:pStyle w:val="59"/>
              <w:ind w:firstLine="0" w:firstLineChars="0"/>
              <w:rPr>
                <w:rFonts w:ascii="华文宋体" w:hAnsi="华文宋体" w:eastAsia="华文宋体" w:cs="华文宋体"/>
                <w:color w:val="000000"/>
                <w:szCs w:val="21"/>
              </w:rPr>
            </w:pPr>
            <w:r>
              <w:rPr>
                <w:rFonts w:hint="eastAsia" w:ascii="华文宋体" w:hAnsi="华文宋体" w:eastAsia="华文宋体" w:cs="华文宋体"/>
                <w:color w:val="000000"/>
                <w:szCs w:val="21"/>
              </w:rPr>
              <w:t>□有     □无</w:t>
            </w:r>
          </w:p>
        </w:tc>
      </w:tr>
      <w:tr w14:paraId="08E4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220E30A0">
            <w:pPr>
              <w:pStyle w:val="59"/>
              <w:ind w:firstLine="0" w:firstLineChars="0"/>
              <w:rPr>
                <w:rFonts w:ascii="华文宋体" w:hAnsi="华文宋体" w:eastAsia="华文宋体" w:cs="华文宋体"/>
                <w:szCs w:val="21"/>
              </w:rPr>
            </w:pPr>
          </w:p>
        </w:tc>
        <w:tc>
          <w:tcPr>
            <w:tcW w:w="2742" w:type="dxa"/>
            <w:vAlign w:val="center"/>
          </w:tcPr>
          <w:p w14:paraId="156C39C7">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结果测量日期</w:t>
            </w:r>
          </w:p>
        </w:tc>
        <w:tc>
          <w:tcPr>
            <w:tcW w:w="3317" w:type="dxa"/>
            <w:gridSpan w:val="2"/>
            <w:vAlign w:val="center"/>
          </w:tcPr>
          <w:p w14:paraId="73F13DFD">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时</w:t>
            </w:r>
          </w:p>
        </w:tc>
        <w:tc>
          <w:tcPr>
            <w:tcW w:w="2686" w:type="dxa"/>
            <w:gridSpan w:val="2"/>
            <w:vAlign w:val="center"/>
          </w:tcPr>
          <w:p w14:paraId="255DAA1B">
            <w:pPr>
              <w:pStyle w:val="59"/>
              <w:ind w:firstLine="0" w:firstLineChars="0"/>
              <w:rPr>
                <w:rFonts w:ascii="华文宋体" w:hAnsi="华文宋体" w:eastAsia="华文宋体" w:cs="华文宋体"/>
                <w:szCs w:val="21"/>
                <w:u w:val="single"/>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时</w:t>
            </w:r>
          </w:p>
        </w:tc>
      </w:tr>
      <w:tr w14:paraId="7E37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2E6DEBED">
            <w:pPr>
              <w:pStyle w:val="59"/>
              <w:ind w:firstLine="0" w:firstLineChars="0"/>
              <w:rPr>
                <w:rFonts w:ascii="华文宋体" w:hAnsi="华文宋体" w:eastAsia="华文宋体" w:cs="华文宋体"/>
                <w:szCs w:val="21"/>
              </w:rPr>
            </w:pPr>
          </w:p>
        </w:tc>
        <w:tc>
          <w:tcPr>
            <w:tcW w:w="2742" w:type="dxa"/>
            <w:vAlign w:val="center"/>
          </w:tcPr>
          <w:p w14:paraId="4A00A20A">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测量者签名</w:t>
            </w:r>
          </w:p>
        </w:tc>
        <w:tc>
          <w:tcPr>
            <w:tcW w:w="3317" w:type="dxa"/>
            <w:gridSpan w:val="2"/>
            <w:vAlign w:val="center"/>
          </w:tcPr>
          <w:p w14:paraId="1555234A">
            <w:pPr>
              <w:pStyle w:val="59"/>
              <w:ind w:firstLine="0" w:firstLineChars="0"/>
              <w:rPr>
                <w:rFonts w:ascii="华文宋体" w:hAnsi="华文宋体" w:eastAsia="华文宋体" w:cs="华文宋体"/>
                <w:szCs w:val="21"/>
              </w:rPr>
            </w:pPr>
          </w:p>
        </w:tc>
        <w:tc>
          <w:tcPr>
            <w:tcW w:w="2686" w:type="dxa"/>
            <w:gridSpan w:val="2"/>
            <w:vAlign w:val="center"/>
          </w:tcPr>
          <w:p w14:paraId="5FCBF2F7">
            <w:pPr>
              <w:pStyle w:val="59"/>
              <w:ind w:firstLine="0" w:firstLineChars="0"/>
              <w:rPr>
                <w:rFonts w:ascii="华文宋体" w:hAnsi="华文宋体" w:eastAsia="华文宋体" w:cs="华文宋体"/>
                <w:szCs w:val="21"/>
              </w:rPr>
            </w:pPr>
          </w:p>
        </w:tc>
      </w:tr>
      <w:tr w14:paraId="6CEB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38F48BB5">
            <w:pPr>
              <w:pStyle w:val="59"/>
              <w:ind w:firstLine="0" w:firstLineChars="0"/>
              <w:rPr>
                <w:rFonts w:ascii="华文宋体" w:hAnsi="华文宋体" w:eastAsia="华文宋体" w:cs="华文宋体"/>
                <w:szCs w:val="21"/>
              </w:rPr>
            </w:pPr>
          </w:p>
        </w:tc>
        <w:tc>
          <w:tcPr>
            <w:tcW w:w="2742" w:type="dxa"/>
            <w:vAlign w:val="center"/>
          </w:tcPr>
          <w:p w14:paraId="18A0772C">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审核日期</w:t>
            </w:r>
          </w:p>
        </w:tc>
        <w:tc>
          <w:tcPr>
            <w:tcW w:w="3317" w:type="dxa"/>
            <w:gridSpan w:val="2"/>
            <w:vAlign w:val="center"/>
          </w:tcPr>
          <w:p w14:paraId="5F089359">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p>
        </w:tc>
        <w:tc>
          <w:tcPr>
            <w:tcW w:w="2686" w:type="dxa"/>
            <w:gridSpan w:val="2"/>
            <w:vAlign w:val="center"/>
          </w:tcPr>
          <w:p w14:paraId="762462B7">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年</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月</w:t>
            </w:r>
            <w:r>
              <w:rPr>
                <w:rFonts w:hint="eastAsia" w:ascii="华文宋体" w:hAnsi="华文宋体" w:eastAsia="华文宋体" w:cs="华文宋体"/>
                <w:szCs w:val="21"/>
                <w:u w:val="single"/>
              </w:rPr>
              <w:t xml:space="preserve">   </w:t>
            </w:r>
            <w:r>
              <w:rPr>
                <w:rFonts w:hint="eastAsia" w:ascii="华文宋体" w:hAnsi="华文宋体" w:eastAsia="华文宋体" w:cs="华文宋体"/>
                <w:szCs w:val="21"/>
              </w:rPr>
              <w:t>日</w:t>
            </w:r>
          </w:p>
        </w:tc>
      </w:tr>
      <w:tr w14:paraId="7CC9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7" w:hRule="atLeast"/>
        </w:trPr>
        <w:tc>
          <w:tcPr>
            <w:tcW w:w="599" w:type="dxa"/>
            <w:vMerge w:val="continue"/>
            <w:vAlign w:val="center"/>
          </w:tcPr>
          <w:p w14:paraId="0CB4BD9C">
            <w:pPr>
              <w:pStyle w:val="59"/>
              <w:ind w:firstLine="0" w:firstLineChars="0"/>
              <w:rPr>
                <w:rFonts w:ascii="华文宋体" w:hAnsi="华文宋体" w:eastAsia="华文宋体" w:cs="华文宋体"/>
                <w:szCs w:val="21"/>
              </w:rPr>
            </w:pPr>
          </w:p>
        </w:tc>
        <w:tc>
          <w:tcPr>
            <w:tcW w:w="2742" w:type="dxa"/>
            <w:vAlign w:val="center"/>
          </w:tcPr>
          <w:p w14:paraId="0CDAD487">
            <w:pPr>
              <w:pStyle w:val="59"/>
              <w:ind w:firstLine="0" w:firstLineChars="0"/>
              <w:rPr>
                <w:rFonts w:ascii="华文宋体" w:hAnsi="华文宋体" w:eastAsia="华文宋体" w:cs="华文宋体"/>
                <w:szCs w:val="21"/>
              </w:rPr>
            </w:pPr>
            <w:r>
              <w:rPr>
                <w:rFonts w:hint="eastAsia" w:ascii="华文宋体" w:hAnsi="华文宋体" w:eastAsia="华文宋体" w:cs="华文宋体"/>
                <w:szCs w:val="21"/>
              </w:rPr>
              <w:t>审核者签名</w:t>
            </w:r>
          </w:p>
        </w:tc>
        <w:tc>
          <w:tcPr>
            <w:tcW w:w="3317" w:type="dxa"/>
            <w:gridSpan w:val="2"/>
            <w:vAlign w:val="center"/>
          </w:tcPr>
          <w:p w14:paraId="42180421">
            <w:pPr>
              <w:pStyle w:val="59"/>
              <w:ind w:firstLine="0" w:firstLineChars="0"/>
              <w:rPr>
                <w:rFonts w:ascii="华文宋体" w:hAnsi="华文宋体" w:eastAsia="华文宋体" w:cs="华文宋体"/>
                <w:szCs w:val="21"/>
              </w:rPr>
            </w:pPr>
          </w:p>
        </w:tc>
        <w:tc>
          <w:tcPr>
            <w:tcW w:w="2686" w:type="dxa"/>
            <w:gridSpan w:val="2"/>
            <w:vAlign w:val="center"/>
          </w:tcPr>
          <w:p w14:paraId="2D8C5C9B">
            <w:pPr>
              <w:pStyle w:val="59"/>
              <w:ind w:firstLine="0" w:firstLineChars="0"/>
              <w:rPr>
                <w:rFonts w:ascii="华文宋体" w:hAnsi="华文宋体" w:eastAsia="华文宋体" w:cs="华文宋体"/>
                <w:szCs w:val="21"/>
              </w:rPr>
            </w:pPr>
          </w:p>
        </w:tc>
      </w:tr>
    </w:tbl>
    <w:p w14:paraId="3597F37F">
      <w:pPr>
        <w:pStyle w:val="59"/>
        <w:ind w:firstLine="420"/>
        <w:jc w:val="left"/>
      </w:pPr>
      <w:r>
        <w:rPr>
          <w:rFonts w:hint="eastAsia"/>
          <w:vertAlign w:val="superscript"/>
        </w:rPr>
        <w:t>*</w:t>
      </w:r>
      <w:r>
        <w:rPr>
          <w:rFonts w:hint="eastAsia"/>
        </w:rPr>
        <w:t>肺结核可疑症状者：是指有咳嗽、咳痰</w:t>
      </w:r>
      <w:r>
        <w:rPr>
          <w:rFonts w:hint="eastAsia" w:hAnsi="宋体"/>
        </w:rPr>
        <w:t>≥</w:t>
      </w:r>
      <w:r>
        <w:rPr>
          <w:rFonts w:hint="eastAsia"/>
        </w:rPr>
        <w:t>2周、咯血或者血痰任何一项症状者。</w:t>
      </w:r>
    </w:p>
    <w:sectPr>
      <w:headerReference r:id="rId11" w:type="default"/>
      <w:footerReference r:id="rId13" w:type="default"/>
      <w:headerReference r:id="rId1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华文楷体">
    <w:panose1 w:val="02010600040101010101"/>
    <w:charset w:val="86"/>
    <w:family w:val="auto"/>
    <w:pitch w:val="default"/>
    <w:sig w:usb0="80000287" w:usb1="280F3C52" w:usb2="00000016" w:usb3="00000000" w:csb0="0004001F" w:csb1="00000000"/>
  </w:font>
  <w:font w:name="仿宋_GB2312">
    <w:altName w:val="方正仿宋_GBK"/>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80000287" w:usb1="280F3C52"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冬青黑体简体中文">
    <w:panose1 w:val="020B0300000000000000"/>
    <w:charset w:val="86"/>
    <w:family w:val="auto"/>
    <w:pitch w:val="default"/>
    <w:sig w:usb0="A00002BF" w:usb1="1ACF7CFA" w:usb2="00000016" w:usb3="00000000" w:csb0="00060007" w:csb1="00000000"/>
  </w:font>
  <w:font w:name="方正仿宋_GBK">
    <w:panose1 w:val="02000000000000000000"/>
    <w:charset w:val="86"/>
    <w:family w:val="auto"/>
    <w:pitch w:val="default"/>
    <w:sig w:usb0="A00002BF" w:usb1="38CF7CFA" w:usb2="00082016" w:usb3="00000000" w:csb0="00040001"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BA200">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5D2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88C43">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FFDAE">
    <w:pPr>
      <w:pStyle w:val="55"/>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4B46A">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C71F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DD8D9">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35818">
    <w:pPr>
      <w:pStyle w:val="64"/>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96AD6">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2"/>
  <w:bordersDoNotSurroundHeader w:val="1"/>
  <w:bordersDoNotSurroundFooter w:val="1"/>
  <w:trackRevisions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yMmU0NDllODI4ZGFmMGZkODVjMjQ0NmRlZWZlMTYifQ=="/>
  </w:docVars>
  <w:rsids>
    <w:rsidRoot w:val="0036618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B9F"/>
    <w:rsid w:val="00067F1E"/>
    <w:rsid w:val="00071CC0"/>
    <w:rsid w:val="00071EC2"/>
    <w:rsid w:val="00073C8C"/>
    <w:rsid w:val="0007641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A9C"/>
    <w:rsid w:val="000D329A"/>
    <w:rsid w:val="000D4B9C"/>
    <w:rsid w:val="000D4EB6"/>
    <w:rsid w:val="000D753B"/>
    <w:rsid w:val="000E4C9E"/>
    <w:rsid w:val="000E6FD7"/>
    <w:rsid w:val="000F06E1"/>
    <w:rsid w:val="000F0E3C"/>
    <w:rsid w:val="000F11DF"/>
    <w:rsid w:val="000F19D5"/>
    <w:rsid w:val="000F4AEA"/>
    <w:rsid w:val="000F633F"/>
    <w:rsid w:val="000F67E9"/>
    <w:rsid w:val="00104926"/>
    <w:rsid w:val="00110208"/>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A9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2F5"/>
    <w:rsid w:val="001B06E8"/>
    <w:rsid w:val="001B71D0"/>
    <w:rsid w:val="001B71EE"/>
    <w:rsid w:val="001C04A8"/>
    <w:rsid w:val="001C2C03"/>
    <w:rsid w:val="001C42F7"/>
    <w:rsid w:val="001C49E5"/>
    <w:rsid w:val="001C513A"/>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61B"/>
    <w:rsid w:val="0020107D"/>
    <w:rsid w:val="002020B4"/>
    <w:rsid w:val="00202AA4"/>
    <w:rsid w:val="002031F7"/>
    <w:rsid w:val="002040E6"/>
    <w:rsid w:val="0020527B"/>
    <w:rsid w:val="00205F2C"/>
    <w:rsid w:val="00210B15"/>
    <w:rsid w:val="002142EA"/>
    <w:rsid w:val="002204BB"/>
    <w:rsid w:val="00221B79"/>
    <w:rsid w:val="00221C6B"/>
    <w:rsid w:val="002223C3"/>
    <w:rsid w:val="002253A1"/>
    <w:rsid w:val="00225CF8"/>
    <w:rsid w:val="0022794E"/>
    <w:rsid w:val="00233D64"/>
    <w:rsid w:val="0023482A"/>
    <w:rsid w:val="002359CB"/>
    <w:rsid w:val="00235D76"/>
    <w:rsid w:val="00236562"/>
    <w:rsid w:val="00243540"/>
    <w:rsid w:val="0024497B"/>
    <w:rsid w:val="0024515B"/>
    <w:rsid w:val="00246021"/>
    <w:rsid w:val="0024666E"/>
    <w:rsid w:val="00247F52"/>
    <w:rsid w:val="00250B25"/>
    <w:rsid w:val="00250BBE"/>
    <w:rsid w:val="002515C2"/>
    <w:rsid w:val="00251883"/>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D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D9F"/>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4A9"/>
    <w:rsid w:val="00352C83"/>
    <w:rsid w:val="00355A46"/>
    <w:rsid w:val="003615D2"/>
    <w:rsid w:val="0036429C"/>
    <w:rsid w:val="00364A53"/>
    <w:rsid w:val="003654CB"/>
    <w:rsid w:val="00365AA9"/>
    <w:rsid w:val="00365F86"/>
    <w:rsid w:val="00365F87"/>
    <w:rsid w:val="0036618A"/>
    <w:rsid w:val="00366E89"/>
    <w:rsid w:val="003705F4"/>
    <w:rsid w:val="00370D58"/>
    <w:rsid w:val="00371316"/>
    <w:rsid w:val="00376713"/>
    <w:rsid w:val="00377025"/>
    <w:rsid w:val="00381815"/>
    <w:rsid w:val="003819AF"/>
    <w:rsid w:val="003820E9"/>
    <w:rsid w:val="00382DE7"/>
    <w:rsid w:val="00384FFC"/>
    <w:rsid w:val="003872FC"/>
    <w:rsid w:val="00387ADC"/>
    <w:rsid w:val="00390020"/>
    <w:rsid w:val="003903D6"/>
    <w:rsid w:val="00390EE6"/>
    <w:rsid w:val="0039118F"/>
    <w:rsid w:val="00392AD7"/>
    <w:rsid w:val="003938D9"/>
    <w:rsid w:val="00393E5C"/>
    <w:rsid w:val="00394376"/>
    <w:rsid w:val="003943FF"/>
    <w:rsid w:val="00395700"/>
    <w:rsid w:val="003974EB"/>
    <w:rsid w:val="00397CC5"/>
    <w:rsid w:val="003A1582"/>
    <w:rsid w:val="003A4077"/>
    <w:rsid w:val="003A707B"/>
    <w:rsid w:val="003B09AD"/>
    <w:rsid w:val="003B1F18"/>
    <w:rsid w:val="003B5BF0"/>
    <w:rsid w:val="003B60BF"/>
    <w:rsid w:val="003B6BE3"/>
    <w:rsid w:val="003C010C"/>
    <w:rsid w:val="003C0A6C"/>
    <w:rsid w:val="003C0CA8"/>
    <w:rsid w:val="003C14F8"/>
    <w:rsid w:val="003C5A43"/>
    <w:rsid w:val="003D0519"/>
    <w:rsid w:val="003D0FF6"/>
    <w:rsid w:val="003D262C"/>
    <w:rsid w:val="003D6D61"/>
    <w:rsid w:val="003D7853"/>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427"/>
    <w:rsid w:val="00432DAA"/>
    <w:rsid w:val="00434305"/>
    <w:rsid w:val="0043492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630"/>
    <w:rsid w:val="004A12DF"/>
    <w:rsid w:val="004A17E6"/>
    <w:rsid w:val="004A1BA8"/>
    <w:rsid w:val="004A4B57"/>
    <w:rsid w:val="004A63FA"/>
    <w:rsid w:val="004B0272"/>
    <w:rsid w:val="004B1C74"/>
    <w:rsid w:val="004B2701"/>
    <w:rsid w:val="004B2E1B"/>
    <w:rsid w:val="004B3AA8"/>
    <w:rsid w:val="004B3E93"/>
    <w:rsid w:val="004C1FBC"/>
    <w:rsid w:val="004C253C"/>
    <w:rsid w:val="004C3F1D"/>
    <w:rsid w:val="004C458D"/>
    <w:rsid w:val="004C629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A56"/>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815"/>
    <w:rsid w:val="00573D9E"/>
    <w:rsid w:val="005801E3"/>
    <w:rsid w:val="00581802"/>
    <w:rsid w:val="005836A8"/>
    <w:rsid w:val="0058409C"/>
    <w:rsid w:val="00584262"/>
    <w:rsid w:val="00584A34"/>
    <w:rsid w:val="00586630"/>
    <w:rsid w:val="00587398"/>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3BAC"/>
    <w:rsid w:val="005D4171"/>
    <w:rsid w:val="005D6A95"/>
    <w:rsid w:val="005D6B2C"/>
    <w:rsid w:val="005D6D9C"/>
    <w:rsid w:val="005E2335"/>
    <w:rsid w:val="005E34CA"/>
    <w:rsid w:val="005E3C18"/>
    <w:rsid w:val="005E6812"/>
    <w:rsid w:val="005E7881"/>
    <w:rsid w:val="005E78E0"/>
    <w:rsid w:val="005F0D9C"/>
    <w:rsid w:val="005F1567"/>
    <w:rsid w:val="005F284E"/>
    <w:rsid w:val="005F4712"/>
    <w:rsid w:val="006015CE"/>
    <w:rsid w:val="00603A63"/>
    <w:rsid w:val="00604784"/>
    <w:rsid w:val="00606419"/>
    <w:rsid w:val="00607D29"/>
    <w:rsid w:val="00612952"/>
    <w:rsid w:val="00614CC1"/>
    <w:rsid w:val="00615341"/>
    <w:rsid w:val="00615A9D"/>
    <w:rsid w:val="00616AEE"/>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694"/>
    <w:rsid w:val="00645904"/>
    <w:rsid w:val="00651ACB"/>
    <w:rsid w:val="00651C47"/>
    <w:rsid w:val="00652AB2"/>
    <w:rsid w:val="00653FED"/>
    <w:rsid w:val="00654EC0"/>
    <w:rsid w:val="0065525B"/>
    <w:rsid w:val="00655D4F"/>
    <w:rsid w:val="006568BA"/>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584"/>
    <w:rsid w:val="00685AAB"/>
    <w:rsid w:val="00695D22"/>
    <w:rsid w:val="006A07AA"/>
    <w:rsid w:val="006A25E5"/>
    <w:rsid w:val="006A2B46"/>
    <w:rsid w:val="006A336D"/>
    <w:rsid w:val="006A37B9"/>
    <w:rsid w:val="006A45CD"/>
    <w:rsid w:val="006A4767"/>
    <w:rsid w:val="006B2672"/>
    <w:rsid w:val="006B54BF"/>
    <w:rsid w:val="006B5F44"/>
    <w:rsid w:val="006B5F90"/>
    <w:rsid w:val="006B62E4"/>
    <w:rsid w:val="006C1BBA"/>
    <w:rsid w:val="006C2079"/>
    <w:rsid w:val="006C3A8C"/>
    <w:rsid w:val="006C5A62"/>
    <w:rsid w:val="006C5D68"/>
    <w:rsid w:val="006C6976"/>
    <w:rsid w:val="006C6DD0"/>
    <w:rsid w:val="006D04EA"/>
    <w:rsid w:val="006D0AB7"/>
    <w:rsid w:val="006D16C4"/>
    <w:rsid w:val="006D3E96"/>
    <w:rsid w:val="006D4515"/>
    <w:rsid w:val="006D49DA"/>
    <w:rsid w:val="006D4BB1"/>
    <w:rsid w:val="006D60E9"/>
    <w:rsid w:val="006D6593"/>
    <w:rsid w:val="006E23EA"/>
    <w:rsid w:val="006F03A8"/>
    <w:rsid w:val="006F2ACA"/>
    <w:rsid w:val="006F2ADC"/>
    <w:rsid w:val="006F2BFE"/>
    <w:rsid w:val="006F31E9"/>
    <w:rsid w:val="006F3CC2"/>
    <w:rsid w:val="006F6284"/>
    <w:rsid w:val="007002C5"/>
    <w:rsid w:val="00704387"/>
    <w:rsid w:val="00707669"/>
    <w:rsid w:val="00710E71"/>
    <w:rsid w:val="00711CBA"/>
    <w:rsid w:val="00711FB5"/>
    <w:rsid w:val="00712A01"/>
    <w:rsid w:val="00714F58"/>
    <w:rsid w:val="00717ACC"/>
    <w:rsid w:val="00722FBF"/>
    <w:rsid w:val="00722FC2"/>
    <w:rsid w:val="00724879"/>
    <w:rsid w:val="00724E1B"/>
    <w:rsid w:val="00725949"/>
    <w:rsid w:val="00727FA2"/>
    <w:rsid w:val="007322D9"/>
    <w:rsid w:val="00732BC0"/>
    <w:rsid w:val="0073701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82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7BF"/>
    <w:rsid w:val="008209E6"/>
    <w:rsid w:val="00823303"/>
    <w:rsid w:val="008233B2"/>
    <w:rsid w:val="00823A9F"/>
    <w:rsid w:val="00823C85"/>
    <w:rsid w:val="00825138"/>
    <w:rsid w:val="008269DD"/>
    <w:rsid w:val="00830621"/>
    <w:rsid w:val="00830B3A"/>
    <w:rsid w:val="0083348C"/>
    <w:rsid w:val="008373D3"/>
    <w:rsid w:val="00840617"/>
    <w:rsid w:val="00840F84"/>
    <w:rsid w:val="00842A47"/>
    <w:rsid w:val="00843C13"/>
    <w:rsid w:val="008454F8"/>
    <w:rsid w:val="0085173A"/>
    <w:rsid w:val="00856316"/>
    <w:rsid w:val="008603CE"/>
    <w:rsid w:val="008620FC"/>
    <w:rsid w:val="008627A5"/>
    <w:rsid w:val="00863E05"/>
    <w:rsid w:val="008652A2"/>
    <w:rsid w:val="00865ACA"/>
    <w:rsid w:val="00865D28"/>
    <w:rsid w:val="00865F85"/>
    <w:rsid w:val="00867C10"/>
    <w:rsid w:val="00870439"/>
    <w:rsid w:val="00870DA1"/>
    <w:rsid w:val="008715EF"/>
    <w:rsid w:val="00883F93"/>
    <w:rsid w:val="00884DB3"/>
    <w:rsid w:val="00885A9D"/>
    <w:rsid w:val="008864F6"/>
    <w:rsid w:val="0089049D"/>
    <w:rsid w:val="008928C9"/>
    <w:rsid w:val="008930CB"/>
    <w:rsid w:val="008938DC"/>
    <w:rsid w:val="00893FD1"/>
    <w:rsid w:val="00894836"/>
    <w:rsid w:val="00895172"/>
    <w:rsid w:val="00895680"/>
    <w:rsid w:val="008968AA"/>
    <w:rsid w:val="00896DFF"/>
    <w:rsid w:val="0089762C"/>
    <w:rsid w:val="008A1893"/>
    <w:rsid w:val="008A3215"/>
    <w:rsid w:val="008A57E6"/>
    <w:rsid w:val="008A6F81"/>
    <w:rsid w:val="008A769A"/>
    <w:rsid w:val="008B0C9C"/>
    <w:rsid w:val="008B1628"/>
    <w:rsid w:val="008B166D"/>
    <w:rsid w:val="008B1783"/>
    <w:rsid w:val="008B17F4"/>
    <w:rsid w:val="008B3615"/>
    <w:rsid w:val="008B4AC4"/>
    <w:rsid w:val="008B50C8"/>
    <w:rsid w:val="008B5281"/>
    <w:rsid w:val="008B7E05"/>
    <w:rsid w:val="008C14ED"/>
    <w:rsid w:val="008C1797"/>
    <w:rsid w:val="008C219C"/>
    <w:rsid w:val="008C31D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3AE"/>
    <w:rsid w:val="008F4A19"/>
    <w:rsid w:val="008F4C29"/>
    <w:rsid w:val="008F70BD"/>
    <w:rsid w:val="008F788F"/>
    <w:rsid w:val="008F7EA2"/>
    <w:rsid w:val="00902722"/>
    <w:rsid w:val="009027BC"/>
    <w:rsid w:val="009062E6"/>
    <w:rsid w:val="00911BE5"/>
    <w:rsid w:val="00913117"/>
    <w:rsid w:val="00913CA9"/>
    <w:rsid w:val="009145AE"/>
    <w:rsid w:val="009146CE"/>
    <w:rsid w:val="00914CA7"/>
    <w:rsid w:val="00915C3E"/>
    <w:rsid w:val="009161A8"/>
    <w:rsid w:val="009245F5"/>
    <w:rsid w:val="009249EC"/>
    <w:rsid w:val="009273B3"/>
    <w:rsid w:val="009305B5"/>
    <w:rsid w:val="00935375"/>
    <w:rsid w:val="009429D5"/>
    <w:rsid w:val="00942BF1"/>
    <w:rsid w:val="00945180"/>
    <w:rsid w:val="00945428"/>
    <w:rsid w:val="0094607B"/>
    <w:rsid w:val="00953604"/>
    <w:rsid w:val="0095496B"/>
    <w:rsid w:val="00954D5E"/>
    <w:rsid w:val="009610DC"/>
    <w:rsid w:val="00961490"/>
    <w:rsid w:val="0096381A"/>
    <w:rsid w:val="00965E04"/>
    <w:rsid w:val="009674AD"/>
    <w:rsid w:val="00970CDC"/>
    <w:rsid w:val="0097225A"/>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568A"/>
    <w:rsid w:val="009A72AD"/>
    <w:rsid w:val="009B0872"/>
    <w:rsid w:val="009B09E0"/>
    <w:rsid w:val="009B0BC5"/>
    <w:rsid w:val="009B1247"/>
    <w:rsid w:val="009B1863"/>
    <w:rsid w:val="009B1B1A"/>
    <w:rsid w:val="009B46F9"/>
    <w:rsid w:val="009B6029"/>
    <w:rsid w:val="009B6971"/>
    <w:rsid w:val="009C27F1"/>
    <w:rsid w:val="009C3152"/>
    <w:rsid w:val="009C4CFA"/>
    <w:rsid w:val="009C4E25"/>
    <w:rsid w:val="009C5070"/>
    <w:rsid w:val="009D112C"/>
    <w:rsid w:val="009D26FD"/>
    <w:rsid w:val="009D47FA"/>
    <w:rsid w:val="009D4C5B"/>
    <w:rsid w:val="009D50D2"/>
    <w:rsid w:val="009D5C0C"/>
    <w:rsid w:val="009D6BCA"/>
    <w:rsid w:val="009E0F62"/>
    <w:rsid w:val="009E4A58"/>
    <w:rsid w:val="009E5A2D"/>
    <w:rsid w:val="009E5AB2"/>
    <w:rsid w:val="009E6219"/>
    <w:rsid w:val="009F03B3"/>
    <w:rsid w:val="009F0854"/>
    <w:rsid w:val="009F0D98"/>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85F"/>
    <w:rsid w:val="00A30EFC"/>
    <w:rsid w:val="00A31984"/>
    <w:rsid w:val="00A32D73"/>
    <w:rsid w:val="00A3367B"/>
    <w:rsid w:val="00A3597D"/>
    <w:rsid w:val="00A36DD1"/>
    <w:rsid w:val="00A37EBC"/>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3D6"/>
    <w:rsid w:val="00A723F8"/>
    <w:rsid w:val="00A77CCB"/>
    <w:rsid w:val="00A81782"/>
    <w:rsid w:val="00A83D8D"/>
    <w:rsid w:val="00A8446B"/>
    <w:rsid w:val="00A8473F"/>
    <w:rsid w:val="00A85775"/>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FE2"/>
    <w:rsid w:val="00AE37E5"/>
    <w:rsid w:val="00AE5EB4"/>
    <w:rsid w:val="00AF0C18"/>
    <w:rsid w:val="00AF2356"/>
    <w:rsid w:val="00AF47C5"/>
    <w:rsid w:val="00AF5398"/>
    <w:rsid w:val="00B049AF"/>
    <w:rsid w:val="00B07242"/>
    <w:rsid w:val="00B10534"/>
    <w:rsid w:val="00B113DB"/>
    <w:rsid w:val="00B11D8A"/>
    <w:rsid w:val="00B12981"/>
    <w:rsid w:val="00B147DD"/>
    <w:rsid w:val="00B156FD"/>
    <w:rsid w:val="00B17DDE"/>
    <w:rsid w:val="00B21F61"/>
    <w:rsid w:val="00B261F1"/>
    <w:rsid w:val="00B265BC"/>
    <w:rsid w:val="00B268C7"/>
    <w:rsid w:val="00B314B1"/>
    <w:rsid w:val="00B31FB1"/>
    <w:rsid w:val="00B33952"/>
    <w:rsid w:val="00B33C5E"/>
    <w:rsid w:val="00B342F4"/>
    <w:rsid w:val="00B34369"/>
    <w:rsid w:val="00B34DC2"/>
    <w:rsid w:val="00B378E5"/>
    <w:rsid w:val="00B40AE0"/>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172F"/>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FAE"/>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C84"/>
    <w:rsid w:val="00BF51E5"/>
    <w:rsid w:val="00BF74A6"/>
    <w:rsid w:val="00C013AD"/>
    <w:rsid w:val="00C04904"/>
    <w:rsid w:val="00C056B3"/>
    <w:rsid w:val="00C103E5"/>
    <w:rsid w:val="00C13319"/>
    <w:rsid w:val="00C13EE9"/>
    <w:rsid w:val="00C17EBD"/>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9E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2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3E70"/>
    <w:rsid w:val="00CC42EB"/>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18"/>
    <w:rsid w:val="00D035EC"/>
    <w:rsid w:val="00D06AB1"/>
    <w:rsid w:val="00D072ED"/>
    <w:rsid w:val="00D07A16"/>
    <w:rsid w:val="00D1067E"/>
    <w:rsid w:val="00D10F50"/>
    <w:rsid w:val="00D11272"/>
    <w:rsid w:val="00D126F5"/>
    <w:rsid w:val="00D1489E"/>
    <w:rsid w:val="00D16F8E"/>
    <w:rsid w:val="00D20737"/>
    <w:rsid w:val="00D21E81"/>
    <w:rsid w:val="00D223DE"/>
    <w:rsid w:val="00D2244B"/>
    <w:rsid w:val="00D25E37"/>
    <w:rsid w:val="00D2661A"/>
    <w:rsid w:val="00D27582"/>
    <w:rsid w:val="00D27EC4"/>
    <w:rsid w:val="00D32719"/>
    <w:rsid w:val="00D33333"/>
    <w:rsid w:val="00D33457"/>
    <w:rsid w:val="00D352A2"/>
    <w:rsid w:val="00D4162B"/>
    <w:rsid w:val="00D4380D"/>
    <w:rsid w:val="00D4514F"/>
    <w:rsid w:val="00D451E2"/>
    <w:rsid w:val="00D45E89"/>
    <w:rsid w:val="00D45E8D"/>
    <w:rsid w:val="00D466AE"/>
    <w:rsid w:val="00D4734F"/>
    <w:rsid w:val="00D51BF3"/>
    <w:rsid w:val="00D52BA6"/>
    <w:rsid w:val="00D66846"/>
    <w:rsid w:val="00D675FB"/>
    <w:rsid w:val="00D706C1"/>
    <w:rsid w:val="00D71F25"/>
    <w:rsid w:val="00D72A9C"/>
    <w:rsid w:val="00D72E87"/>
    <w:rsid w:val="00D747E9"/>
    <w:rsid w:val="00D77031"/>
    <w:rsid w:val="00D8366E"/>
    <w:rsid w:val="00D84941"/>
    <w:rsid w:val="00D84FA1"/>
    <w:rsid w:val="00D851F0"/>
    <w:rsid w:val="00D86DB7"/>
    <w:rsid w:val="00D87751"/>
    <w:rsid w:val="00D926D0"/>
    <w:rsid w:val="00D93030"/>
    <w:rsid w:val="00D950E1"/>
    <w:rsid w:val="00D952A6"/>
    <w:rsid w:val="00D97F99"/>
    <w:rsid w:val="00DA1E08"/>
    <w:rsid w:val="00DA24F8"/>
    <w:rsid w:val="00DA28E8"/>
    <w:rsid w:val="00DA38D3"/>
    <w:rsid w:val="00DA3932"/>
    <w:rsid w:val="00DA3AFC"/>
    <w:rsid w:val="00DA5191"/>
    <w:rsid w:val="00DA64B5"/>
    <w:rsid w:val="00DA64F8"/>
    <w:rsid w:val="00DA6C15"/>
    <w:rsid w:val="00DB0258"/>
    <w:rsid w:val="00DB38EE"/>
    <w:rsid w:val="00DB498B"/>
    <w:rsid w:val="00DB66CA"/>
    <w:rsid w:val="00DB6BCA"/>
    <w:rsid w:val="00DB73F7"/>
    <w:rsid w:val="00DC0321"/>
    <w:rsid w:val="00DC3067"/>
    <w:rsid w:val="00DC370B"/>
    <w:rsid w:val="00DC5B90"/>
    <w:rsid w:val="00DC70AC"/>
    <w:rsid w:val="00DD00FF"/>
    <w:rsid w:val="00DD0619"/>
    <w:rsid w:val="00DD07FB"/>
    <w:rsid w:val="00DD25C6"/>
    <w:rsid w:val="00DD4FE5"/>
    <w:rsid w:val="00DD54B0"/>
    <w:rsid w:val="00DD57EE"/>
    <w:rsid w:val="00DD5C92"/>
    <w:rsid w:val="00DD6BCC"/>
    <w:rsid w:val="00DE0A4B"/>
    <w:rsid w:val="00DE2200"/>
    <w:rsid w:val="00DE2410"/>
    <w:rsid w:val="00DE2939"/>
    <w:rsid w:val="00DE6E81"/>
    <w:rsid w:val="00DE703F"/>
    <w:rsid w:val="00DE7595"/>
    <w:rsid w:val="00DF1961"/>
    <w:rsid w:val="00DF44DE"/>
    <w:rsid w:val="00DF5F11"/>
    <w:rsid w:val="00DF7C19"/>
    <w:rsid w:val="00E01138"/>
    <w:rsid w:val="00E02DFB"/>
    <w:rsid w:val="00E030F9"/>
    <w:rsid w:val="00E0311A"/>
    <w:rsid w:val="00E03138"/>
    <w:rsid w:val="00E06404"/>
    <w:rsid w:val="00E065D2"/>
    <w:rsid w:val="00E11A85"/>
    <w:rsid w:val="00E12495"/>
    <w:rsid w:val="00E15CCD"/>
    <w:rsid w:val="00E16E8B"/>
    <w:rsid w:val="00E202EF"/>
    <w:rsid w:val="00E210B5"/>
    <w:rsid w:val="00E21C12"/>
    <w:rsid w:val="00E23D99"/>
    <w:rsid w:val="00E2552F"/>
    <w:rsid w:val="00E26547"/>
    <w:rsid w:val="00E3137A"/>
    <w:rsid w:val="00E32CCF"/>
    <w:rsid w:val="00E34A98"/>
    <w:rsid w:val="00E35D1E"/>
    <w:rsid w:val="00E364F9"/>
    <w:rsid w:val="00E365FA"/>
    <w:rsid w:val="00E36789"/>
    <w:rsid w:val="00E4086B"/>
    <w:rsid w:val="00E44A83"/>
    <w:rsid w:val="00E502C1"/>
    <w:rsid w:val="00E502DD"/>
    <w:rsid w:val="00E50D3A"/>
    <w:rsid w:val="00E51387"/>
    <w:rsid w:val="00E51E68"/>
    <w:rsid w:val="00E52EFD"/>
    <w:rsid w:val="00E5408A"/>
    <w:rsid w:val="00E56800"/>
    <w:rsid w:val="00E60BBF"/>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F2F"/>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5D6"/>
    <w:rsid w:val="00F219FF"/>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577"/>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0AB"/>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668"/>
    <w:rsid w:val="00FF3E7D"/>
    <w:rsid w:val="00FF5B99"/>
    <w:rsid w:val="00FF730C"/>
    <w:rsid w:val="00FF73F4"/>
    <w:rsid w:val="00FF7CE4"/>
    <w:rsid w:val="00FF7E39"/>
    <w:rsid w:val="5B7E0B2A"/>
    <w:rsid w:val="65D60732"/>
    <w:rsid w:val="77A32749"/>
    <w:rsid w:val="7FDF28FE"/>
    <w:rsid w:val="7FEF953A"/>
    <w:rsid w:val="DFDF60A7"/>
    <w:rsid w:val="F31E4E2A"/>
    <w:rsid w:val="FBAF9C75"/>
    <w:rsid w:val="FEF13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34">
    <w:name w:val="批注文字 字符"/>
    <w:basedOn w:val="30"/>
    <w:link w:val="13"/>
    <w:qFormat/>
    <w:uiPriority w:val="99"/>
    <w:rPr>
      <w:rFonts w:ascii="Calibri" w:hAnsi="Calibri"/>
      <w:kern w:val="2"/>
      <w:sz w:val="21"/>
      <w:szCs w:val="21"/>
    </w:rPr>
  </w:style>
  <w:style w:type="character" w:customStyle="1" w:styleId="235">
    <w:name w:val="批注主题 字符"/>
    <w:basedOn w:val="234"/>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6DA0F1CC9394CA6AC4C096A414ADCBA"/>
        <w:style w:val=""/>
        <w:category>
          <w:name w:val="常规"/>
          <w:gallery w:val="placeholder"/>
        </w:category>
        <w:types>
          <w:type w:val="bbPlcHdr"/>
        </w:types>
        <w:behaviors>
          <w:behavior w:val="content"/>
        </w:behaviors>
        <w:description w:val=""/>
        <w:guid w:val="{4DFEF15C-BE88-4D79-A416-FD6074D9F3CA}"/>
      </w:docPartPr>
      <w:docPartBody>
        <w:p w14:paraId="5C7A609F">
          <w:pPr>
            <w:pStyle w:val="5"/>
          </w:pPr>
          <w:r>
            <w:rPr>
              <w:rStyle w:val="4"/>
              <w:rFonts w:hint="eastAsia"/>
            </w:rPr>
            <w:t>单击或点击此处输入文字。</w:t>
          </w:r>
        </w:p>
      </w:docPartBody>
    </w:docPart>
    <w:docPart>
      <w:docPartPr>
        <w:name w:val="702329DD3F914758AB1C053252405D09"/>
        <w:style w:val=""/>
        <w:category>
          <w:name w:val="常规"/>
          <w:gallery w:val="placeholder"/>
        </w:category>
        <w:types>
          <w:type w:val="bbPlcHdr"/>
        </w:types>
        <w:behaviors>
          <w:behavior w:val="content"/>
        </w:behaviors>
        <w:description w:val=""/>
        <w:guid w:val="{FA8FD8BF-1665-4E0A-BE9F-EB4CFEACFE13}"/>
      </w:docPartPr>
      <w:docPartBody>
        <w:p w14:paraId="71712EB6">
          <w:pPr>
            <w:pStyle w:val="6"/>
          </w:pPr>
          <w:r>
            <w:rPr>
              <w:rStyle w:val="4"/>
              <w:rFonts w:hint="eastAsia"/>
            </w:rPr>
            <w:t>选择一项。</w:t>
          </w:r>
        </w:p>
      </w:docPartBody>
    </w:docPart>
    <w:docPart>
      <w:docPartPr>
        <w:name w:val="4AA866707D894BE2994F4244047DB2B6"/>
        <w:style w:val=""/>
        <w:category>
          <w:name w:val="常规"/>
          <w:gallery w:val="placeholder"/>
        </w:category>
        <w:types>
          <w:type w:val="bbPlcHdr"/>
        </w:types>
        <w:behaviors>
          <w:behavior w:val="content"/>
        </w:behaviors>
        <w:description w:val=""/>
        <w:guid w:val="{A9D67360-461E-43E4-AA07-562C41AED218}"/>
      </w:docPartPr>
      <w:docPartBody>
        <w:p w14:paraId="3A31D8F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85"/>
    <w:rsid w:val="000610F8"/>
    <w:rsid w:val="001220D8"/>
    <w:rsid w:val="001C17EA"/>
    <w:rsid w:val="00343283"/>
    <w:rsid w:val="00393E5C"/>
    <w:rsid w:val="004D2C72"/>
    <w:rsid w:val="005648CB"/>
    <w:rsid w:val="00585214"/>
    <w:rsid w:val="00654037"/>
    <w:rsid w:val="006A4767"/>
    <w:rsid w:val="006E02BA"/>
    <w:rsid w:val="00723EEB"/>
    <w:rsid w:val="007F58A6"/>
    <w:rsid w:val="008209D3"/>
    <w:rsid w:val="008C14ED"/>
    <w:rsid w:val="00913117"/>
    <w:rsid w:val="00945196"/>
    <w:rsid w:val="00980C28"/>
    <w:rsid w:val="009D5C0C"/>
    <w:rsid w:val="00A35185"/>
    <w:rsid w:val="00A67CBC"/>
    <w:rsid w:val="00A713D6"/>
    <w:rsid w:val="00CE0EFF"/>
    <w:rsid w:val="00CE392F"/>
    <w:rsid w:val="00DC70AC"/>
    <w:rsid w:val="00DF509E"/>
    <w:rsid w:val="00F219FF"/>
    <w:rsid w:val="00F26E7A"/>
    <w:rsid w:val="00FA336C"/>
    <w:rsid w:val="00FA6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6DA0F1CC9394CA6AC4C096A414ADCB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02329DD3F914758AB1C053252405D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AA866707D894BE2994F4244047DB2B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8</Pages>
  <Words>701</Words>
  <Characters>4001</Characters>
  <Lines>33</Lines>
  <Paragraphs>9</Paragraphs>
  <TotalTime>2111</TotalTime>
  <ScaleCrop>false</ScaleCrop>
  <LinksUpToDate>false</LinksUpToDate>
  <CharactersWithSpaces>4693</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2024-01-22T10:58:00Z</dcterms:created>
  <dc:creator>徐佳南</dc:creator>
  <dc:description>&lt;config cover="true" show_menu="true" version="1.0.0" doctype="SDKXY"&gt;_x000d_
&lt;/config&gt;</dc:description>
  <cp:lastModifiedBy>阿梅</cp:lastModifiedBy>
  <cp:lastPrinted>2020-09-01T10:00:00Z</cp:lastPrinted>
  <dcterms:modified xsi:type="dcterms:W3CDTF">2024-08-18T22:31:57Z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2052-6.10.1.8873</vt:lpwstr>
  </property>
  <property fmtid="{D5CDD505-2E9C-101B-9397-08002B2CF9AE}" pid="15" name="ICV">
    <vt:lpwstr>DE948D9BAC58B79ADD05C266005AF837_43</vt:lpwstr>
  </property>
</Properties>
</file>